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6E" w:rsidRPr="00061061" w:rsidRDefault="0059336E" w:rsidP="00B418A1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【基金重大訊息公告】</w:t>
      </w:r>
    </w:p>
    <w:p w:rsidR="001D1AD4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一、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第一金投信自</w:t>
      </w:r>
      <w:r w:rsidR="00312612" w:rsidRPr="00A34523">
        <w:rPr>
          <w:rFonts w:ascii="微軟正黑體" w:eastAsia="微軟正黑體" w:hAnsi="微軟正黑體" w:hint="eastAsia"/>
          <w:b/>
          <w:szCs w:val="24"/>
        </w:rPr>
        <w:t>２０１８</w:t>
      </w:r>
      <w:r w:rsidR="001D1AD4" w:rsidRPr="00A34523">
        <w:rPr>
          <w:rFonts w:ascii="微軟正黑體" w:eastAsia="微軟正黑體" w:hAnsi="微軟正黑體" w:hint="eastAsia"/>
          <w:b/>
          <w:szCs w:val="24"/>
        </w:rPr>
        <w:t>年</w:t>
      </w:r>
      <w:proofErr w:type="gramStart"/>
      <w:r w:rsidR="009D648F" w:rsidRPr="00A34523">
        <w:rPr>
          <w:rFonts w:ascii="微軟正黑體" w:eastAsia="微軟正黑體" w:hAnsi="微軟正黑體" w:hint="eastAsia"/>
          <w:b/>
          <w:szCs w:val="24"/>
        </w:rPr>
        <w:t>９</w:t>
      </w:r>
      <w:proofErr w:type="gramEnd"/>
      <w:r w:rsidR="001D1AD4" w:rsidRPr="00A34523">
        <w:rPr>
          <w:rFonts w:ascii="微軟正黑體" w:eastAsia="微軟正黑體" w:hAnsi="微軟正黑體" w:hint="eastAsia"/>
          <w:b/>
          <w:szCs w:val="24"/>
        </w:rPr>
        <w:t>月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２６</w:t>
      </w:r>
      <w:r w:rsidR="001D1AD4" w:rsidRPr="00A34523">
        <w:rPr>
          <w:rFonts w:ascii="微軟正黑體" w:eastAsia="微軟正黑體" w:hAnsi="微軟正黑體" w:hint="eastAsia"/>
          <w:b/>
          <w:szCs w:val="24"/>
        </w:rPr>
        <w:t>日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經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金管會核准，移轉</w:t>
      </w:r>
      <w:proofErr w:type="gramStart"/>
      <w:r w:rsidR="009D648F" w:rsidRPr="00A34523">
        <w:rPr>
          <w:rFonts w:ascii="微軟正黑體" w:eastAsia="微軟正黑體" w:hAnsi="微軟正黑體" w:hint="eastAsia"/>
          <w:b/>
          <w:szCs w:val="24"/>
        </w:rPr>
        <w:t>歐義銳榮</w:t>
      </w:r>
      <w:proofErr w:type="gramEnd"/>
      <w:r w:rsidR="009D648F" w:rsidRPr="00A34523">
        <w:rPr>
          <w:rFonts w:ascii="微軟正黑體" w:eastAsia="微軟正黑體" w:hAnsi="微軟正黑體" w:hint="eastAsia"/>
          <w:b/>
          <w:szCs w:val="24"/>
        </w:rPr>
        <w:t>系列</w:t>
      </w:r>
      <w:r w:rsidR="0095006B" w:rsidRPr="00A34523">
        <w:rPr>
          <w:rFonts w:ascii="微軟正黑體" w:eastAsia="微軟正黑體" w:hAnsi="微軟正黑體" w:hint="eastAsia"/>
          <w:b/>
          <w:szCs w:val="24"/>
        </w:rPr>
        <w:t>9檔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基金之總代理人，</w:t>
      </w:r>
      <w:r w:rsidR="0095006B" w:rsidRPr="00A34523">
        <w:rPr>
          <w:rFonts w:ascii="微軟正黑體" w:eastAsia="微軟正黑體" w:hAnsi="微軟正黑體" w:hint="eastAsia"/>
          <w:b/>
          <w:szCs w:val="24"/>
        </w:rPr>
        <w:t>於２０１８年</w:t>
      </w:r>
      <w:proofErr w:type="gramStart"/>
      <w:r w:rsidR="0095006B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95006B" w:rsidRPr="00A34523">
        <w:rPr>
          <w:rFonts w:ascii="微軟正黑體" w:eastAsia="微軟正黑體" w:hAnsi="微軟正黑體" w:hint="eastAsia"/>
          <w:b/>
          <w:szCs w:val="24"/>
        </w:rPr>
        <w:t>月３１日前</w:t>
      </w:r>
      <w:r w:rsidR="005E08B6" w:rsidRPr="00A34523">
        <w:rPr>
          <w:rFonts w:ascii="微軟正黑體" w:eastAsia="微軟正黑體" w:hAnsi="微軟正黑體" w:hint="eastAsia"/>
          <w:b/>
          <w:szCs w:val="24"/>
        </w:rPr>
        <w:t>得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繼續辦理原有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以</w:t>
      </w:r>
      <w:r w:rsidR="0095006B" w:rsidRPr="00A34523">
        <w:rPr>
          <w:rFonts w:ascii="微軟正黑體" w:eastAsia="微軟正黑體" w:hAnsi="微軟正黑體" w:hint="eastAsia"/>
          <w:b/>
          <w:szCs w:val="24"/>
        </w:rPr>
        <w:t>定期定額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及定期</w:t>
      </w:r>
      <w:proofErr w:type="gramStart"/>
      <w:r w:rsidR="00472C8D" w:rsidRPr="00A34523">
        <w:rPr>
          <w:rFonts w:ascii="微軟正黑體" w:eastAsia="微軟正黑體" w:hAnsi="微軟正黑體" w:hint="eastAsia"/>
          <w:b/>
          <w:szCs w:val="24"/>
        </w:rPr>
        <w:t>不</w:t>
      </w:r>
      <w:proofErr w:type="gramEnd"/>
      <w:r w:rsidR="00472C8D" w:rsidRPr="00A34523">
        <w:rPr>
          <w:rFonts w:ascii="微軟正黑體" w:eastAsia="微軟正黑體" w:hAnsi="微軟正黑體" w:hint="eastAsia"/>
          <w:b/>
          <w:szCs w:val="24"/>
        </w:rPr>
        <w:t>定額方式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之投資，</w:t>
      </w:r>
      <w:r w:rsidR="00DA5B07" w:rsidRPr="00A34523">
        <w:rPr>
          <w:rFonts w:ascii="微軟正黑體" w:eastAsia="微軟正黑體" w:hAnsi="微軟正黑體" w:hint="eastAsia"/>
          <w:b/>
          <w:szCs w:val="24"/>
        </w:rPr>
        <w:t>詳細內容請至</w:t>
      </w:r>
      <w:r w:rsidR="009D648F" w:rsidRPr="00A34523">
        <w:rPr>
          <w:rFonts w:ascii="微軟正黑體" w:eastAsia="微軟正黑體" w:hAnsi="微軟正黑體" w:hint="eastAsia"/>
          <w:b/>
          <w:szCs w:val="24"/>
        </w:rPr>
        <w:t>第一金</w:t>
      </w:r>
      <w:proofErr w:type="gramStart"/>
      <w:r w:rsidR="00DA5B07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DA5B07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1413E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二、</w:t>
      </w:r>
      <w:r w:rsidR="001413EB" w:rsidRPr="00A34523">
        <w:rPr>
          <w:rFonts w:ascii="微軟正黑體" w:eastAsia="微軟正黑體" w:hAnsi="微軟正黑體" w:hint="eastAsia"/>
          <w:b/>
          <w:szCs w:val="24"/>
        </w:rPr>
        <w:t>摩根投信「摩根基金－新興歐洲股票基金」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預定</w:t>
      </w:r>
      <w:r w:rsidR="009D4EEB" w:rsidRPr="00A34523">
        <w:rPr>
          <w:rFonts w:ascii="微軟正黑體" w:eastAsia="微軟正黑體" w:hAnsi="微軟正黑體" w:hint="eastAsia"/>
          <w:b/>
          <w:szCs w:val="24"/>
        </w:rPr>
        <w:t>２０１８年</w:t>
      </w:r>
      <w:proofErr w:type="gramStart"/>
      <w:r w:rsidR="009D4EEB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9D4EEB" w:rsidRPr="00A34523">
        <w:rPr>
          <w:rFonts w:ascii="微軟正黑體" w:eastAsia="微軟正黑體" w:hAnsi="微軟正黑體" w:hint="eastAsia"/>
          <w:b/>
          <w:szCs w:val="24"/>
        </w:rPr>
        <w:t>月１４日合併「摩根基金－新興歐洲、中東及非洲基金」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消滅</w:t>
      </w:r>
      <w:r w:rsidR="007F26F2" w:rsidRPr="00A34523">
        <w:rPr>
          <w:rFonts w:ascii="微軟正黑體" w:eastAsia="微軟正黑體" w:hAnsi="微軟正黑體" w:hint="eastAsia"/>
          <w:b/>
          <w:szCs w:val="24"/>
        </w:rPr>
        <w:t>基金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。</w:t>
      </w:r>
      <w:r w:rsidR="007F26F2" w:rsidRPr="00A34523">
        <w:rPr>
          <w:rFonts w:ascii="微軟正黑體" w:eastAsia="微軟正黑體" w:hAnsi="微軟正黑體" w:hint="eastAsia"/>
          <w:b/>
          <w:szCs w:val="24"/>
        </w:rPr>
        <w:t>並自２０１８年</w:t>
      </w:r>
      <w:proofErr w:type="gramStart"/>
      <w:r w:rsidR="007F26F2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7F26F2" w:rsidRPr="00A34523">
        <w:rPr>
          <w:rFonts w:ascii="微軟正黑體" w:eastAsia="微軟正黑體" w:hAnsi="微軟正黑體" w:hint="eastAsia"/>
          <w:b/>
          <w:szCs w:val="24"/>
        </w:rPr>
        <w:t>月１２日起暫停受理消滅基金新申購</w:t>
      </w:r>
      <w:r w:rsidR="00D93F49" w:rsidRPr="00A34523">
        <w:rPr>
          <w:rFonts w:ascii="微軟正黑體" w:eastAsia="微軟正黑體" w:hAnsi="微軟正黑體" w:hint="eastAsia"/>
          <w:b/>
          <w:szCs w:val="24"/>
        </w:rPr>
        <w:t>，消滅基金最後交易日為２０１８年</w:t>
      </w:r>
      <w:proofErr w:type="gramStart"/>
      <w:r w:rsidR="00D93F49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D93F49" w:rsidRPr="00A34523">
        <w:rPr>
          <w:rFonts w:ascii="微軟正黑體" w:eastAsia="微軟正黑體" w:hAnsi="微軟正黑體" w:hint="eastAsia"/>
          <w:b/>
          <w:szCs w:val="24"/>
        </w:rPr>
        <w:t>月１１日，合併後恢復交易日為２０１８年</w:t>
      </w:r>
      <w:proofErr w:type="gramStart"/>
      <w:r w:rsidR="00D93F49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D93F49" w:rsidRPr="00A34523">
        <w:rPr>
          <w:rFonts w:ascii="微軟正黑體" w:eastAsia="微軟正黑體" w:hAnsi="微軟正黑體" w:hint="eastAsia"/>
          <w:b/>
          <w:szCs w:val="24"/>
        </w:rPr>
        <w:t>月１７日</w:t>
      </w:r>
      <w:r w:rsidR="001413EB" w:rsidRPr="00A34523">
        <w:rPr>
          <w:rFonts w:ascii="微軟正黑體" w:eastAsia="微軟正黑體" w:hAnsi="微軟正黑體" w:hint="eastAsia"/>
          <w:b/>
          <w:szCs w:val="24"/>
        </w:rPr>
        <w:t>，詳細說明請至摩根</w:t>
      </w:r>
      <w:proofErr w:type="gramStart"/>
      <w:r w:rsidR="001413EB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1413E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B4706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三、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摩根投信「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摩根太平洋證券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基金」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預定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２０１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９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年</w:t>
      </w:r>
      <w:proofErr w:type="gramStart"/>
      <w:r w:rsidR="00884874" w:rsidRPr="00A34523">
        <w:rPr>
          <w:rFonts w:ascii="微軟正黑體" w:eastAsia="微軟正黑體" w:hAnsi="微軟正黑體" w:hint="eastAsia"/>
          <w:b/>
          <w:szCs w:val="24"/>
        </w:rPr>
        <w:t>１</w:t>
      </w:r>
      <w:proofErr w:type="gramEnd"/>
      <w:r w:rsidR="00884874" w:rsidRPr="00A34523">
        <w:rPr>
          <w:rFonts w:ascii="微軟正黑體" w:eastAsia="微軟正黑體" w:hAnsi="微軟正黑體" w:hint="eastAsia"/>
          <w:b/>
          <w:szCs w:val="24"/>
        </w:rPr>
        <w:t>月１０日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合併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「摩根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澳洲基金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」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，並清算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「摩根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環球地產入息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基金」</w:t>
      </w:r>
      <w:r w:rsidR="00884874" w:rsidRPr="00A34523">
        <w:rPr>
          <w:rFonts w:ascii="微軟正黑體" w:eastAsia="微軟正黑體" w:hAnsi="微軟正黑體" w:hint="eastAsia"/>
          <w:b/>
          <w:szCs w:val="24"/>
        </w:rPr>
        <w:t>。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另「摩根東協基金」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預定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２０１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９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年</w:t>
      </w:r>
      <w:proofErr w:type="gramStart"/>
      <w:r w:rsidR="0026553C" w:rsidRPr="00A34523">
        <w:rPr>
          <w:rFonts w:ascii="微軟正黑體" w:eastAsia="微軟正黑體" w:hAnsi="微軟正黑體" w:hint="eastAsia"/>
          <w:b/>
          <w:szCs w:val="24"/>
        </w:rPr>
        <w:t>１</w:t>
      </w:r>
      <w:proofErr w:type="gramEnd"/>
      <w:r w:rsidR="0026553C" w:rsidRPr="00A34523">
        <w:rPr>
          <w:rFonts w:ascii="微軟正黑體" w:eastAsia="微軟正黑體" w:hAnsi="微軟正黑體" w:hint="eastAsia"/>
          <w:b/>
          <w:szCs w:val="24"/>
        </w:rPr>
        <w:t>月１１日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合併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「摩根馬來西亞基金」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及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「摩根菲律賓基金」。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「摩根日本（日圓）基金預定２０１９年</w:t>
      </w:r>
      <w:proofErr w:type="gramStart"/>
      <w:r w:rsidR="002673E8" w:rsidRPr="00A34523">
        <w:rPr>
          <w:rFonts w:ascii="微軟正黑體" w:eastAsia="微軟正黑體" w:hAnsi="微軟正黑體" w:hint="eastAsia"/>
          <w:b/>
          <w:szCs w:val="24"/>
        </w:rPr>
        <w:t>１</w:t>
      </w:r>
      <w:proofErr w:type="gramEnd"/>
      <w:r w:rsidR="002673E8" w:rsidRPr="00A34523">
        <w:rPr>
          <w:rFonts w:ascii="微軟正黑體" w:eastAsia="微軟正黑體" w:hAnsi="微軟正黑體" w:hint="eastAsia"/>
          <w:b/>
          <w:szCs w:val="24"/>
        </w:rPr>
        <w:t>月１１日合併「摩根日本小型企業基金」。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上述消滅暨清算基金自２０１８年１０月１２日暫停接受新申購，</w:t>
      </w:r>
      <w:r w:rsidR="000E0612" w:rsidRPr="00A34523">
        <w:rPr>
          <w:rFonts w:ascii="微軟正黑體" w:eastAsia="微軟正黑體" w:hAnsi="微軟正黑體" w:hint="eastAsia"/>
          <w:b/>
          <w:szCs w:val="24"/>
        </w:rPr>
        <w:t>既</w:t>
      </w:r>
      <w:r w:rsidR="0026553C" w:rsidRPr="00A34523">
        <w:rPr>
          <w:rFonts w:ascii="微軟正黑體" w:eastAsia="微軟正黑體" w:hAnsi="微軟正黑體" w:hint="eastAsia"/>
          <w:b/>
          <w:szCs w:val="24"/>
        </w:rPr>
        <w:t>有之定時（不）定額申購不受影響，</w:t>
      </w:r>
      <w:r w:rsidR="002673E8" w:rsidRPr="00A34523">
        <w:rPr>
          <w:rFonts w:ascii="微軟正黑體" w:eastAsia="微軟正黑體" w:hAnsi="微軟正黑體" w:hint="eastAsia"/>
          <w:b/>
          <w:szCs w:val="24"/>
        </w:rPr>
        <w:t>但不得增加扣款金額及扣款</w:t>
      </w:r>
      <w:r w:rsidR="005E08B6" w:rsidRPr="00A34523">
        <w:rPr>
          <w:rFonts w:ascii="微軟正黑體" w:eastAsia="微軟正黑體" w:hAnsi="微軟正黑體" w:hint="eastAsia"/>
          <w:b/>
          <w:szCs w:val="24"/>
        </w:rPr>
        <w:t>頻率，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詳細說明請至摩根投信官網查看。</w:t>
      </w:r>
    </w:p>
    <w:p w:rsidR="00B4706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四、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摩根投信自２０１８年</w:t>
      </w:r>
      <w:proofErr w:type="gramStart"/>
      <w:r w:rsidR="00B4706B" w:rsidRPr="00A34523">
        <w:rPr>
          <w:rFonts w:ascii="微軟正黑體" w:eastAsia="微軟正黑體" w:hAnsi="微軟正黑體" w:hint="eastAsia"/>
          <w:b/>
          <w:szCs w:val="24"/>
        </w:rPr>
        <w:t>１１</w:t>
      </w:r>
      <w:proofErr w:type="gramEnd"/>
      <w:r w:rsidR="00B4706B" w:rsidRPr="00A34523">
        <w:rPr>
          <w:rFonts w:ascii="微軟正黑體" w:eastAsia="微軟正黑體" w:hAnsi="微軟正黑體" w:hint="eastAsia"/>
          <w:b/>
          <w:szCs w:val="24"/>
        </w:rPr>
        <w:t>月１２日起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，變更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「摩根亞洲增長基金」之全權委託投資管理權，將由現任投資經理人</w:t>
      </w:r>
      <w:proofErr w:type="gramStart"/>
      <w:r w:rsidR="00B4706B" w:rsidRPr="00A34523">
        <w:rPr>
          <w:rFonts w:ascii="微軟正黑體" w:eastAsia="微軟正黑體" w:hAnsi="微軟正黑體" w:hint="eastAsia"/>
          <w:b/>
          <w:szCs w:val="24"/>
        </w:rPr>
        <w:t>ＪＦ</w:t>
      </w:r>
      <w:proofErr w:type="gramEnd"/>
      <w:r w:rsidR="00AC1D33" w:rsidRPr="00A34523">
        <w:rPr>
          <w:rFonts w:ascii="微軟正黑體" w:eastAsia="微軟正黑體" w:hAnsi="微軟正黑體" w:hint="eastAsia"/>
          <w:b/>
          <w:szCs w:val="24"/>
        </w:rPr>
        <w:t>資產管理有限公司負責</w:t>
      </w:r>
      <w:r w:rsidR="00B4706B" w:rsidRPr="00A34523">
        <w:rPr>
          <w:rFonts w:ascii="微軟正黑體" w:eastAsia="微軟正黑體" w:hAnsi="微軟正黑體" w:hint="eastAsia"/>
          <w:b/>
          <w:szCs w:val="24"/>
        </w:rPr>
        <w:t>，詳細說明請至摩根</w:t>
      </w:r>
      <w:proofErr w:type="gramStart"/>
      <w:r w:rsidR="00B4706B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B4706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674F4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五、</w:t>
      </w:r>
      <w:r w:rsidR="00446B79" w:rsidRPr="00A34523">
        <w:rPr>
          <w:rFonts w:ascii="微軟正黑體" w:eastAsia="微軟正黑體" w:hAnsi="微軟正黑體" w:hint="eastAsia"/>
          <w:b/>
          <w:szCs w:val="24"/>
        </w:rPr>
        <w:t>未來資產投信自１０８年</w:t>
      </w:r>
      <w:proofErr w:type="gramStart"/>
      <w:r w:rsidR="00446B79" w:rsidRPr="00A34523">
        <w:rPr>
          <w:rFonts w:ascii="微軟正黑體" w:eastAsia="微軟正黑體" w:hAnsi="微軟正黑體" w:hint="eastAsia"/>
          <w:b/>
          <w:szCs w:val="24"/>
        </w:rPr>
        <w:t>１</w:t>
      </w:r>
      <w:proofErr w:type="gramEnd"/>
      <w:r w:rsidR="00446B79" w:rsidRPr="00A34523">
        <w:rPr>
          <w:rFonts w:ascii="微軟正黑體" w:eastAsia="微軟正黑體" w:hAnsi="微軟正黑體" w:hint="eastAsia"/>
          <w:b/>
          <w:szCs w:val="24"/>
        </w:rPr>
        <w:t>月１日起與本行</w:t>
      </w:r>
      <w:r w:rsidR="00D513A8" w:rsidRPr="00A34523">
        <w:rPr>
          <w:rFonts w:ascii="微軟正黑體" w:eastAsia="微軟正黑體" w:hAnsi="微軟正黑體" w:hint="eastAsia"/>
          <w:b/>
          <w:szCs w:val="24"/>
        </w:rPr>
        <w:t>終止「</w:t>
      </w:r>
      <w:r w:rsidR="00446B79" w:rsidRPr="00A34523">
        <w:rPr>
          <w:rFonts w:ascii="微軟正黑體" w:eastAsia="微軟正黑體" w:hAnsi="微軟正黑體" w:hint="eastAsia"/>
          <w:b/>
          <w:szCs w:val="24"/>
        </w:rPr>
        <w:t>未來資產環球『搜</w:t>
      </w:r>
      <w:proofErr w:type="gramStart"/>
      <w:r w:rsidR="00446B79" w:rsidRPr="00A34523">
        <w:rPr>
          <w:rFonts w:ascii="微軟正黑體" w:eastAsia="微軟正黑體" w:hAnsi="微軟正黑體" w:hint="eastAsia"/>
          <w:b/>
          <w:szCs w:val="24"/>
        </w:rPr>
        <w:t>˙</w:t>
      </w:r>
      <w:proofErr w:type="gramEnd"/>
      <w:r w:rsidR="00446B79" w:rsidRPr="00A34523">
        <w:rPr>
          <w:rFonts w:ascii="微軟正黑體" w:eastAsia="微軟正黑體" w:hAnsi="微軟正黑體" w:hint="eastAsia"/>
          <w:b/>
          <w:szCs w:val="24"/>
        </w:rPr>
        <w:t>選』系列基金</w:t>
      </w:r>
      <w:r w:rsidR="00D513A8" w:rsidRPr="00A34523">
        <w:rPr>
          <w:rFonts w:ascii="微軟正黑體" w:eastAsia="微軟正黑體" w:hAnsi="微軟正黑體" w:hint="eastAsia"/>
          <w:b/>
          <w:szCs w:val="24"/>
        </w:rPr>
        <w:t>」之</w:t>
      </w:r>
      <w:r w:rsidR="00446B79" w:rsidRPr="00A34523">
        <w:rPr>
          <w:rFonts w:ascii="微軟正黑體" w:eastAsia="微軟正黑體" w:hAnsi="微軟正黑體" w:hint="eastAsia"/>
          <w:b/>
          <w:szCs w:val="24"/>
        </w:rPr>
        <w:t>銷售契約</w:t>
      </w:r>
      <w:r w:rsidR="00674F4B" w:rsidRPr="00A34523">
        <w:rPr>
          <w:rFonts w:ascii="微軟正黑體" w:eastAsia="微軟正黑體" w:hAnsi="微軟正黑體" w:hint="eastAsia"/>
          <w:b/>
          <w:szCs w:val="24"/>
        </w:rPr>
        <w:t>，</w:t>
      </w:r>
      <w:r w:rsidR="00D513A8" w:rsidRPr="00A34523">
        <w:rPr>
          <w:rFonts w:ascii="微軟正黑體" w:eastAsia="微軟正黑體" w:hAnsi="微軟正黑體" w:hint="eastAsia"/>
          <w:b/>
          <w:szCs w:val="24"/>
        </w:rPr>
        <w:t>詳細說明請至</w:t>
      </w:r>
      <w:r w:rsidR="00446B79" w:rsidRPr="00A34523">
        <w:rPr>
          <w:rFonts w:ascii="微軟正黑體" w:eastAsia="微軟正黑體" w:hAnsi="微軟正黑體" w:hint="eastAsia"/>
          <w:b/>
          <w:szCs w:val="24"/>
        </w:rPr>
        <w:t>未來資產</w:t>
      </w:r>
      <w:proofErr w:type="gramStart"/>
      <w:r w:rsidR="00446B79" w:rsidRPr="00A34523">
        <w:rPr>
          <w:rFonts w:ascii="微軟正黑體" w:eastAsia="微軟正黑體" w:hAnsi="微軟正黑體" w:hint="eastAsia"/>
          <w:b/>
          <w:szCs w:val="24"/>
        </w:rPr>
        <w:t>投信</w:t>
      </w:r>
      <w:r w:rsidR="00674F4B" w:rsidRPr="00A34523">
        <w:rPr>
          <w:rFonts w:ascii="微軟正黑體" w:eastAsia="微軟正黑體" w:hAnsi="微軟正黑體" w:hint="eastAsia"/>
          <w:b/>
          <w:szCs w:val="24"/>
        </w:rPr>
        <w:t>官網查看</w:t>
      </w:r>
      <w:proofErr w:type="gramEnd"/>
      <w:r w:rsidR="00674F4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CE381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六、</w:t>
      </w:r>
      <w:r w:rsidR="00CE381B" w:rsidRPr="00A34523">
        <w:rPr>
          <w:rFonts w:ascii="微軟正黑體" w:eastAsia="微軟正黑體" w:hAnsi="微軟正黑體" w:hint="eastAsia"/>
          <w:b/>
          <w:szCs w:val="24"/>
        </w:rPr>
        <w:t>未來資產投信經理之「亞洲高收益債券基金」、「新興市場債券基金」與「全球大消費基金」，已獲金管會核准終止信託契約</w:t>
      </w:r>
      <w:r w:rsidR="00C44A9F" w:rsidRPr="00A34523">
        <w:rPr>
          <w:rFonts w:ascii="新細明體" w:eastAsia="新細明體" w:hAnsi="新細明體" w:hint="eastAsia"/>
          <w:b/>
          <w:szCs w:val="24"/>
        </w:rPr>
        <w:t>。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「亞洲高收益債券基金」與「新興市場債券基金」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之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基金清算基準日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為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月２４日，最後買回（或轉申購）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日分別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為２０１８年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月５日及２０１８年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月２２日。「全球大消費基金」基金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之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清算基準日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為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月１４日</w:t>
      </w:r>
      <w:r w:rsidR="005E08B6" w:rsidRPr="00A34523">
        <w:rPr>
          <w:rFonts w:ascii="微軟正黑體" w:eastAsia="微軟正黑體" w:hAnsi="微軟正黑體" w:hint="eastAsia"/>
          <w:b/>
          <w:szCs w:val="24"/>
        </w:rPr>
        <w:t>，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最後申購日後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為２０１８年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月３１日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，</w:t>
      </w:r>
      <w:r w:rsidR="00C44A9F" w:rsidRPr="00A34523">
        <w:rPr>
          <w:rFonts w:ascii="微軟正黑體" w:eastAsia="微軟正黑體" w:hAnsi="微軟正黑體" w:hint="eastAsia"/>
          <w:b/>
          <w:szCs w:val="24"/>
        </w:rPr>
        <w:t>２０１８年</w:t>
      </w:r>
      <w:proofErr w:type="gramStart"/>
      <w:r w:rsidR="00C44A9F" w:rsidRPr="00A34523">
        <w:rPr>
          <w:rFonts w:ascii="微軟正黑體" w:eastAsia="微軟正黑體" w:hAnsi="微軟正黑體" w:hint="eastAsia"/>
          <w:b/>
          <w:szCs w:val="24"/>
        </w:rPr>
        <w:t>１２</w:t>
      </w:r>
      <w:proofErr w:type="gramEnd"/>
      <w:r w:rsidR="00C44A9F" w:rsidRPr="00A34523">
        <w:rPr>
          <w:rFonts w:ascii="微軟正黑體" w:eastAsia="微軟正黑體" w:hAnsi="微軟正黑體" w:hint="eastAsia"/>
          <w:b/>
          <w:szCs w:val="24"/>
        </w:rPr>
        <w:t>月１２日</w:t>
      </w:r>
      <w:r w:rsidR="00472C8D" w:rsidRPr="00A34523">
        <w:rPr>
          <w:rFonts w:ascii="微軟正黑體" w:eastAsia="微軟正黑體" w:hAnsi="微軟正黑體" w:hint="eastAsia"/>
          <w:b/>
          <w:szCs w:val="24"/>
        </w:rPr>
        <w:t>為最後買回（或轉申購）截止日，</w:t>
      </w:r>
      <w:r w:rsidR="00CE381B" w:rsidRPr="00A34523">
        <w:rPr>
          <w:rFonts w:ascii="微軟正黑體" w:eastAsia="微軟正黑體" w:hAnsi="微軟正黑體" w:hint="eastAsia"/>
          <w:b/>
          <w:szCs w:val="24"/>
        </w:rPr>
        <w:t>詳細說明請</w:t>
      </w:r>
      <w:r w:rsidR="00CE381B" w:rsidRPr="00A34523">
        <w:rPr>
          <w:rFonts w:ascii="微軟正黑體" w:eastAsia="微軟正黑體" w:hAnsi="微軟正黑體" w:hint="eastAsia"/>
          <w:b/>
          <w:szCs w:val="24"/>
        </w:rPr>
        <w:lastRenderedPageBreak/>
        <w:t>至未來資產</w:t>
      </w:r>
      <w:proofErr w:type="gramStart"/>
      <w:r w:rsidR="00CE381B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CE381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BD3818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七、</w:t>
      </w:r>
      <w:r w:rsidR="00217B5B" w:rsidRPr="00A34523">
        <w:rPr>
          <w:rFonts w:ascii="微軟正黑體" w:eastAsia="微軟正黑體" w:hAnsi="微軟正黑體" w:hint="eastAsia"/>
          <w:b/>
          <w:szCs w:val="24"/>
        </w:rPr>
        <w:t>鋒裕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理投顧總代理之鋒裕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理基金（Ⅱ）－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美國鋒裕基金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，自２０１８年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月３１日修改投資政策並生效，詳細說明請至鋒裕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理</w:t>
      </w:r>
      <w:proofErr w:type="gramStart"/>
      <w:r w:rsidR="00217B5B" w:rsidRPr="00A34523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217B5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F15AB9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八、</w:t>
      </w:r>
      <w:r w:rsidR="00F15AB9" w:rsidRPr="00A34523">
        <w:rPr>
          <w:rFonts w:ascii="微軟正黑體" w:eastAsia="微軟正黑體" w:hAnsi="微軟正黑體" w:hint="eastAsia"/>
          <w:b/>
          <w:szCs w:val="24"/>
        </w:rPr>
        <w:t>安聯投信經理之安聯收益成長多重資產證券投資信託基金，新臺幣計價受益權單位因額度即將達上限，自２０１８年</w:t>
      </w:r>
      <w:proofErr w:type="gramStart"/>
      <w:r w:rsidR="00F15AB9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F15AB9" w:rsidRPr="00A34523">
        <w:rPr>
          <w:rFonts w:ascii="微軟正黑體" w:eastAsia="微軟正黑體" w:hAnsi="微軟正黑體" w:hint="eastAsia"/>
          <w:b/>
          <w:szCs w:val="24"/>
        </w:rPr>
        <w:t>月８日起暫停受理新申購，詳細說明請至安聯</w:t>
      </w:r>
      <w:proofErr w:type="gramStart"/>
      <w:r w:rsidR="00F15AB9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F15AB9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E21254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九、</w:t>
      </w:r>
      <w:r w:rsidR="00E21254" w:rsidRPr="00A34523">
        <w:rPr>
          <w:rFonts w:ascii="微軟正黑體" w:eastAsia="微軟正黑體" w:hAnsi="微軟正黑體" w:hint="eastAsia"/>
          <w:b/>
          <w:szCs w:val="24"/>
        </w:rPr>
        <w:t>自２０１８年</w:t>
      </w:r>
      <w:proofErr w:type="gramStart"/>
      <w:r w:rsidR="00E21254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E21254" w:rsidRPr="00A34523">
        <w:rPr>
          <w:rFonts w:ascii="微軟正黑體" w:eastAsia="微軟正黑體" w:hAnsi="微軟正黑體" w:hint="eastAsia"/>
          <w:b/>
          <w:szCs w:val="24"/>
        </w:rPr>
        <w:t>月１２日起富逹亞洲總報酬基金之經理人變更，詳細說明請至富逹投信官網查看。</w:t>
      </w:r>
    </w:p>
    <w:p w:rsidR="0066008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十、</w:t>
      </w:r>
      <w:r w:rsidR="0066008B" w:rsidRPr="00A34523">
        <w:rPr>
          <w:rFonts w:ascii="微軟正黑體" w:eastAsia="微軟正黑體" w:hAnsi="微軟正黑體" w:hint="eastAsia"/>
          <w:b/>
          <w:szCs w:val="24"/>
        </w:rPr>
        <w:t>自２０１８年9月２8日起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亞投信總代理之「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亞投資－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Ｍ＆Ｇ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環球股息基金」等１２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基金，變更基金保管機構，詳細說明請至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亞</w:t>
      </w:r>
      <w:proofErr w:type="gramStart"/>
      <w:r w:rsidR="0066008B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66008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AD7B98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一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AD7B98" w:rsidRPr="00A34523">
        <w:rPr>
          <w:rFonts w:ascii="微軟正黑體" w:eastAsia="微軟正黑體" w:hAnsi="微軟正黑體" w:hint="eastAsia"/>
          <w:b/>
          <w:szCs w:val="24"/>
        </w:rPr>
        <w:t>元大投信之「元大全球靈活配置債券組合基金」</w:t>
      </w:r>
      <w:r w:rsidR="00EB2B0D" w:rsidRPr="00A34523">
        <w:rPr>
          <w:rFonts w:ascii="微軟正黑體" w:eastAsia="微軟正黑體" w:hAnsi="微軟正黑體" w:hint="eastAsia"/>
          <w:b/>
          <w:szCs w:val="24"/>
        </w:rPr>
        <w:t>、「元大印度指數基金」、「元大印尼指數基金」、「元大全球股票入息基金」</w:t>
      </w:r>
      <w:r w:rsidR="00AD7B98" w:rsidRPr="00A34523">
        <w:rPr>
          <w:rFonts w:ascii="微軟正黑體" w:eastAsia="微軟正黑體" w:hAnsi="微軟正黑體" w:hint="eastAsia"/>
          <w:b/>
          <w:szCs w:val="24"/>
        </w:rPr>
        <w:t>之淨資產價值，已低於信託契約所定之規定，詳細說明請至元大</w:t>
      </w:r>
      <w:proofErr w:type="gramStart"/>
      <w:r w:rsidR="00AD7B98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AD7B98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2D1660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二</w:t>
      </w:r>
      <w:r>
        <w:rPr>
          <w:rFonts w:ascii="微軟正黑體" w:eastAsia="微軟正黑體" w:hAnsi="微軟正黑體" w:hint="eastAsia"/>
          <w:b/>
          <w:szCs w:val="24"/>
        </w:rPr>
        <w:t>、</w:t>
      </w:r>
      <w:proofErr w:type="gramStart"/>
      <w:r w:rsidR="00C2330A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C2330A" w:rsidRPr="00A34523">
        <w:rPr>
          <w:rFonts w:ascii="微軟正黑體" w:eastAsia="微軟正黑體" w:hAnsi="微軟正黑體" w:hint="eastAsia"/>
          <w:b/>
          <w:szCs w:val="24"/>
        </w:rPr>
        <w:t>亞投信</w:t>
      </w:r>
      <w:r w:rsidR="000C0616" w:rsidRPr="00A34523">
        <w:rPr>
          <w:rFonts w:ascii="微軟正黑體" w:eastAsia="微軟正黑體" w:hAnsi="微軟正黑體" w:hint="eastAsia"/>
          <w:b/>
          <w:szCs w:val="24"/>
        </w:rPr>
        <w:t>總代理之「</w:t>
      </w:r>
      <w:proofErr w:type="gramStart"/>
      <w:r w:rsidR="000C0616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0C0616" w:rsidRPr="00A34523">
        <w:rPr>
          <w:rFonts w:ascii="微軟正黑體" w:eastAsia="微軟正黑體" w:hAnsi="微軟正黑體" w:hint="eastAsia"/>
          <w:b/>
          <w:szCs w:val="24"/>
        </w:rPr>
        <w:t>亞投資－M&amp;G環球股息基金」等８檔基金經２０１８年</w:t>
      </w:r>
      <w:proofErr w:type="gramStart"/>
      <w:r w:rsidR="000C0616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0C0616" w:rsidRPr="00A34523">
        <w:rPr>
          <w:rFonts w:ascii="微軟正黑體" w:eastAsia="微軟正黑體" w:hAnsi="微軟正黑體" w:hint="eastAsia"/>
          <w:b/>
          <w:szCs w:val="24"/>
        </w:rPr>
        <w:t>月４日之股東臨時會決議通過移轉</w:t>
      </w:r>
      <w:r w:rsidR="00582A37" w:rsidRPr="00A34523">
        <w:rPr>
          <w:rFonts w:ascii="微軟正黑體" w:eastAsia="微軟正黑體" w:hAnsi="微軟正黑體" w:hint="eastAsia"/>
          <w:b/>
          <w:szCs w:val="24"/>
        </w:rPr>
        <w:t>，分別自２０１８年</w:t>
      </w:r>
      <w:proofErr w:type="gramStart"/>
      <w:r w:rsidR="00582A37" w:rsidRPr="00A34523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582A37" w:rsidRPr="00A34523">
        <w:rPr>
          <w:rFonts w:ascii="微軟正黑體" w:eastAsia="微軟正黑體" w:hAnsi="微軟正黑體" w:hint="eastAsia"/>
          <w:b/>
          <w:szCs w:val="24"/>
        </w:rPr>
        <w:t>月２６日、</w:t>
      </w:r>
      <w:proofErr w:type="gramStart"/>
      <w:r w:rsidR="00582A37" w:rsidRPr="00A34523">
        <w:rPr>
          <w:rFonts w:ascii="微軟正黑體" w:eastAsia="微軟正黑體" w:hAnsi="微軟正黑體" w:hint="eastAsia"/>
          <w:b/>
          <w:szCs w:val="24"/>
        </w:rPr>
        <w:t>１１</w:t>
      </w:r>
      <w:proofErr w:type="gramEnd"/>
      <w:r w:rsidR="00582A37" w:rsidRPr="00A34523">
        <w:rPr>
          <w:rFonts w:ascii="微軟正黑體" w:eastAsia="微軟正黑體" w:hAnsi="微軟正黑體" w:hint="eastAsia"/>
          <w:b/>
          <w:szCs w:val="24"/>
        </w:rPr>
        <w:t>月９日及２０１９年</w:t>
      </w:r>
      <w:proofErr w:type="gramStart"/>
      <w:r w:rsidR="00582A37" w:rsidRPr="00A34523">
        <w:rPr>
          <w:rFonts w:ascii="微軟正黑體" w:eastAsia="微軟正黑體" w:hAnsi="微軟正黑體" w:hint="eastAsia"/>
          <w:b/>
          <w:szCs w:val="24"/>
        </w:rPr>
        <w:t>３</w:t>
      </w:r>
      <w:proofErr w:type="gramEnd"/>
      <w:r w:rsidR="00582A37" w:rsidRPr="00A34523">
        <w:rPr>
          <w:rFonts w:ascii="微軟正黑體" w:eastAsia="微軟正黑體" w:hAnsi="微軟正黑體" w:hint="eastAsia"/>
          <w:b/>
          <w:szCs w:val="24"/>
        </w:rPr>
        <w:t>月８日移轉併入M&amp;G（</w:t>
      </w:r>
      <w:proofErr w:type="gramStart"/>
      <w:r w:rsidR="00582A37" w:rsidRPr="00A34523">
        <w:rPr>
          <w:rFonts w:ascii="微軟正黑體" w:eastAsia="微軟正黑體" w:hAnsi="微軟正黑體" w:hint="eastAsia"/>
          <w:b/>
          <w:szCs w:val="24"/>
        </w:rPr>
        <w:t>Ｌｕｘ</w:t>
      </w:r>
      <w:proofErr w:type="gramEnd"/>
      <w:r w:rsidR="00582A37" w:rsidRPr="00A34523">
        <w:rPr>
          <w:rFonts w:ascii="微軟正黑體" w:eastAsia="微軟正黑體" w:hAnsi="微軟正黑體" w:hint="eastAsia"/>
          <w:b/>
          <w:szCs w:val="24"/>
        </w:rPr>
        <w:t>）投資基金，同時並變更基金註冊地、管理機構及基金保管理構，</w:t>
      </w:r>
      <w:r w:rsidR="00C2330A" w:rsidRPr="00A34523">
        <w:rPr>
          <w:rFonts w:ascii="微軟正黑體" w:eastAsia="微軟正黑體" w:hAnsi="微軟正黑體" w:hint="eastAsia"/>
          <w:b/>
          <w:szCs w:val="24"/>
        </w:rPr>
        <w:t>詳細說明請至</w:t>
      </w:r>
      <w:proofErr w:type="gramStart"/>
      <w:r w:rsidR="00C2330A" w:rsidRPr="00A34523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C2330A" w:rsidRPr="00A34523">
        <w:rPr>
          <w:rFonts w:ascii="微軟正黑體" w:eastAsia="微軟正黑體" w:hAnsi="微軟正黑體" w:hint="eastAsia"/>
          <w:b/>
          <w:szCs w:val="24"/>
        </w:rPr>
        <w:t>亞</w:t>
      </w:r>
      <w:proofErr w:type="gramStart"/>
      <w:r w:rsidR="00C2330A" w:rsidRPr="00A34523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C2330A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726831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三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726831" w:rsidRPr="00A34523">
        <w:rPr>
          <w:rFonts w:ascii="微軟正黑體" w:eastAsia="微軟正黑體" w:hAnsi="微軟正黑體" w:hint="eastAsia"/>
          <w:b/>
          <w:szCs w:val="24"/>
        </w:rPr>
        <w:t>日盛投信總代理</w:t>
      </w:r>
      <w:r w:rsidR="00726831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之「日盛貨幣市場證券投資信託基金」修正基金證券投資信託契約</w:t>
      </w:r>
      <w:r w:rsidR="00726831" w:rsidRPr="00A34523">
        <w:rPr>
          <w:rFonts w:ascii="微軟正黑體" w:eastAsia="微軟正黑體" w:hAnsi="微軟正黑體" w:hint="eastAsia"/>
          <w:b/>
          <w:szCs w:val="24"/>
        </w:rPr>
        <w:t>，詳細說明請至</w:t>
      </w:r>
      <w:r w:rsidR="009C7A0D" w:rsidRPr="00A34523">
        <w:rPr>
          <w:rFonts w:ascii="微軟正黑體" w:eastAsia="微軟正黑體" w:hAnsi="微軟正黑體" w:hint="eastAsia"/>
          <w:b/>
          <w:szCs w:val="24"/>
        </w:rPr>
        <w:t>日盛</w:t>
      </w:r>
      <w:proofErr w:type="gramStart"/>
      <w:r w:rsidR="009C7A0D" w:rsidRPr="00A34523">
        <w:rPr>
          <w:rFonts w:ascii="微軟正黑體" w:eastAsia="微軟正黑體" w:hAnsi="微軟正黑體" w:hint="eastAsia"/>
          <w:b/>
          <w:szCs w:val="24"/>
        </w:rPr>
        <w:t>投信</w:t>
      </w:r>
      <w:r w:rsidR="00726831" w:rsidRPr="00A34523">
        <w:rPr>
          <w:rFonts w:ascii="微軟正黑體" w:eastAsia="微軟正黑體" w:hAnsi="微軟正黑體" w:hint="eastAsia"/>
          <w:b/>
          <w:szCs w:val="24"/>
        </w:rPr>
        <w:t>官網查看</w:t>
      </w:r>
      <w:proofErr w:type="gramEnd"/>
      <w:r w:rsidR="00726831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58620D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四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富蘭克林投顧之</w:t>
      </w:r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「富蘭克林坦伯頓全球股票型基金」、「富蘭克林潛力組合基金」基金經理團隊異動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，詳細說明</w:t>
      </w:r>
      <w:proofErr w:type="gramStart"/>
      <w:r w:rsidR="0058620D" w:rsidRPr="00A34523">
        <w:rPr>
          <w:rFonts w:ascii="微軟正黑體" w:eastAsia="微軟正黑體" w:hAnsi="微軟正黑體" w:hint="eastAsia"/>
          <w:b/>
          <w:szCs w:val="24"/>
        </w:rPr>
        <w:t>請至蘭克</w:t>
      </w:r>
      <w:proofErr w:type="gramEnd"/>
      <w:r w:rsidR="0058620D" w:rsidRPr="00A34523">
        <w:rPr>
          <w:rFonts w:ascii="微軟正黑體" w:eastAsia="微軟正黑體" w:hAnsi="微軟正黑體" w:hint="eastAsia"/>
          <w:b/>
          <w:szCs w:val="24"/>
        </w:rPr>
        <w:t>林</w:t>
      </w:r>
      <w:proofErr w:type="gramStart"/>
      <w:r w:rsidR="0058620D" w:rsidRPr="00A34523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58620D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58620D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五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鋒裕</w:t>
      </w:r>
      <w:proofErr w:type="gramStart"/>
      <w:r w:rsidR="0058620D" w:rsidRPr="00A34523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58620D" w:rsidRPr="00A34523">
        <w:rPr>
          <w:rFonts w:ascii="微軟正黑體" w:eastAsia="微軟正黑體" w:hAnsi="微軟正黑體" w:hint="eastAsia"/>
          <w:b/>
          <w:szCs w:val="24"/>
        </w:rPr>
        <w:t>理投顧總代理之</w:t>
      </w:r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「鋒裕</w:t>
      </w:r>
      <w:proofErr w:type="gramStart"/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匯</w:t>
      </w:r>
      <w:proofErr w:type="gramEnd"/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理基金（Ⅱ）－美國高息，</w:t>
      </w:r>
      <w:r w:rsidR="000B43F7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為控管國內投資人投資占個別境外基金淨資產價值比率，</w:t>
      </w:r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自</w:t>
      </w:r>
      <w:r w:rsidR="003227AB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２０１８</w:t>
      </w:r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年</w:t>
      </w:r>
      <w:proofErr w:type="gramStart"/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１０</w:t>
      </w:r>
      <w:proofErr w:type="gramEnd"/>
      <w:r w:rsidR="0058620D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月２６日起不接受新增申購交易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，原</w:t>
      </w:r>
      <w:r w:rsidR="00C00BD3" w:rsidRPr="00A34523">
        <w:rPr>
          <w:rFonts w:ascii="微軟正黑體" w:eastAsia="微軟正黑體" w:hAnsi="微軟正黑體" w:hint="eastAsia"/>
          <w:b/>
          <w:szCs w:val="24"/>
        </w:rPr>
        <w:t>定時（不）定額投資人</w:t>
      </w:r>
      <w:r w:rsidR="00C00BD3" w:rsidRPr="00A34523">
        <w:rPr>
          <w:rFonts w:ascii="微軟正黑體" w:eastAsia="微軟正黑體" w:hAnsi="微軟正黑體" w:hint="eastAsia"/>
          <w:b/>
          <w:szCs w:val="24"/>
        </w:rPr>
        <w:lastRenderedPageBreak/>
        <w:t>不受影響，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詳細說明請至</w:t>
      </w:r>
      <w:r w:rsidR="00C00BD3" w:rsidRPr="00A34523">
        <w:rPr>
          <w:rFonts w:ascii="微軟正黑體" w:eastAsia="微軟正黑體" w:hAnsi="微軟正黑體" w:hint="eastAsia"/>
          <w:b/>
          <w:szCs w:val="24"/>
        </w:rPr>
        <w:t>鋒裕</w:t>
      </w:r>
      <w:proofErr w:type="gramStart"/>
      <w:r w:rsidR="00C00BD3" w:rsidRPr="00A34523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C00BD3" w:rsidRPr="00A34523">
        <w:rPr>
          <w:rFonts w:ascii="微軟正黑體" w:eastAsia="微軟正黑體" w:hAnsi="微軟正黑體" w:hint="eastAsia"/>
          <w:b/>
          <w:szCs w:val="24"/>
        </w:rPr>
        <w:t>理</w:t>
      </w:r>
      <w:proofErr w:type="gramStart"/>
      <w:r w:rsidR="00C00BD3" w:rsidRPr="00A34523">
        <w:rPr>
          <w:rFonts w:ascii="微軟正黑體" w:eastAsia="微軟正黑體" w:hAnsi="微軟正黑體" w:hint="eastAsia"/>
          <w:b/>
          <w:szCs w:val="24"/>
        </w:rPr>
        <w:t>投顧</w:t>
      </w:r>
      <w:r w:rsidR="0058620D" w:rsidRPr="00A34523">
        <w:rPr>
          <w:rFonts w:ascii="微軟正黑體" w:eastAsia="微軟正黑體" w:hAnsi="微軟正黑體" w:hint="eastAsia"/>
          <w:b/>
          <w:szCs w:val="24"/>
        </w:rPr>
        <w:t>官網查看</w:t>
      </w:r>
      <w:proofErr w:type="gramEnd"/>
      <w:r w:rsidR="0058620D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3227A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六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3227AB" w:rsidRPr="00A34523">
        <w:rPr>
          <w:rFonts w:ascii="微軟正黑體" w:eastAsia="微軟正黑體" w:hAnsi="微軟正黑體" w:hint="eastAsia"/>
          <w:b/>
          <w:szCs w:val="24"/>
        </w:rPr>
        <w:t>安聯投信經理之</w:t>
      </w:r>
      <w:r w:rsidR="003227AB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「安聯收益成長多重資產證券投資信託基金」之新臺幣計價受益權單位，自２０１８年</w:t>
      </w:r>
      <w:proofErr w:type="gramStart"/>
      <w:r w:rsidR="003227AB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１０</w:t>
      </w:r>
      <w:proofErr w:type="gramEnd"/>
      <w:r w:rsidR="003227AB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月２５日起解除申購額度之控管</w:t>
      </w:r>
      <w:r w:rsidR="003227AB" w:rsidRPr="00A34523">
        <w:rPr>
          <w:rFonts w:ascii="微軟正黑體" w:eastAsia="微軟正黑體" w:hAnsi="微軟正黑體" w:hint="eastAsia"/>
          <w:b/>
          <w:szCs w:val="24"/>
        </w:rPr>
        <w:t>，詳細說明請至</w:t>
      </w:r>
      <w:r w:rsidR="00D71C0B" w:rsidRPr="00A34523">
        <w:rPr>
          <w:rFonts w:ascii="微軟正黑體" w:eastAsia="微軟正黑體" w:hAnsi="微軟正黑體" w:hint="eastAsia"/>
          <w:b/>
          <w:szCs w:val="24"/>
        </w:rPr>
        <w:t>安聯</w:t>
      </w:r>
      <w:proofErr w:type="gramStart"/>
      <w:r w:rsidR="00D71C0B" w:rsidRPr="00A34523">
        <w:rPr>
          <w:rFonts w:ascii="微軟正黑體" w:eastAsia="微軟正黑體" w:hAnsi="微軟正黑體" w:hint="eastAsia"/>
          <w:b/>
          <w:szCs w:val="24"/>
        </w:rPr>
        <w:t>投信</w:t>
      </w:r>
      <w:r w:rsidR="003227AB" w:rsidRPr="00A34523">
        <w:rPr>
          <w:rFonts w:ascii="微軟正黑體" w:eastAsia="微軟正黑體" w:hAnsi="微軟正黑體" w:hint="eastAsia"/>
          <w:b/>
          <w:szCs w:val="24"/>
        </w:rPr>
        <w:t>官網查看</w:t>
      </w:r>
      <w:proofErr w:type="gramEnd"/>
      <w:r w:rsidR="003227AB" w:rsidRPr="00A34523">
        <w:rPr>
          <w:rFonts w:ascii="微軟正黑體" w:eastAsia="微軟正黑體" w:hAnsi="微軟正黑體" w:hint="eastAsia"/>
          <w:b/>
          <w:szCs w:val="24"/>
        </w:rPr>
        <w:t>。</w:t>
      </w:r>
    </w:p>
    <w:p w:rsidR="00D71C0B" w:rsidRPr="00A34523" w:rsidRDefault="00A34523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十</w:t>
      </w:r>
      <w:r w:rsidR="006A1246">
        <w:rPr>
          <w:rFonts w:ascii="微軟正黑體" w:eastAsia="微軟正黑體" w:hAnsi="微軟正黑體" w:hint="eastAsia"/>
          <w:b/>
          <w:szCs w:val="24"/>
        </w:rPr>
        <w:t>七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Cs w:val="24"/>
        </w:rPr>
        <w:t>、</w:t>
      </w:r>
      <w:r w:rsidR="00DE6C33" w:rsidRPr="00A34523">
        <w:rPr>
          <w:rFonts w:ascii="微軟正黑體" w:eastAsia="微軟正黑體" w:hAnsi="微軟正黑體" w:hint="eastAsia"/>
          <w:b/>
          <w:szCs w:val="24"/>
        </w:rPr>
        <w:t>富邦投信經理之</w:t>
      </w:r>
      <w:r w:rsidR="00DE6C33" w:rsidRPr="00A34523">
        <w:rPr>
          <w:rFonts w:ascii="微軟正黑體" w:eastAsia="微軟正黑體" w:hAnsi="微軟正黑體" w:cs="新細明體" w:hint="eastAsia"/>
          <w:b/>
          <w:kern w:val="0"/>
          <w:szCs w:val="24"/>
        </w:rPr>
        <w:t>「</w:t>
      </w:r>
      <w:r w:rsidR="00DE6C33" w:rsidRPr="00A34523">
        <w:rPr>
          <w:rFonts w:ascii="微軟正黑體" w:eastAsia="微軟正黑體" w:hAnsi="微軟正黑體" w:hint="eastAsia"/>
          <w:b/>
          <w:szCs w:val="24"/>
        </w:rPr>
        <w:t>富邦新興雙印主權債券證券投資信託基金」因</w:t>
      </w:r>
      <w:r w:rsidR="00D71C0B" w:rsidRPr="00A34523">
        <w:rPr>
          <w:rFonts w:ascii="微軟正黑體" w:eastAsia="微軟正黑體" w:hAnsi="微軟正黑體" w:hint="eastAsia"/>
          <w:b/>
          <w:szCs w:val="24"/>
        </w:rPr>
        <w:t>基金印尼地區海外持債比率不足３０％，依公開說明書須增列２０１８年１１月２０日為基金營業日，詳細說明請至富邦投信官網查看。</w:t>
      </w:r>
    </w:p>
    <w:p w:rsidR="0059336E" w:rsidRPr="00061061" w:rsidRDefault="0059336E" w:rsidP="00B418A1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proofErr w:type="gramStart"/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</w:t>
      </w:r>
      <w:proofErr w:type="gramEnd"/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基金公開說明書修訂如下，詳細內容請至公開資訊觀測站http://mops.twse.com.tw或境外基金資訊觀測站http://announce.fundclear.com.tw/)查詢</w:t>
      </w:r>
      <w:proofErr w:type="gramStart"/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】</w:t>
      </w:r>
      <w:proofErr w:type="gramEnd"/>
    </w:p>
    <w:p w:rsidR="0010799F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一、</w:t>
      </w:r>
      <w:proofErr w:type="gramStart"/>
      <w:r w:rsidR="0010799F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10799F" w:rsidRPr="00B418A1">
        <w:rPr>
          <w:rFonts w:ascii="微軟正黑體" w:eastAsia="微軟正黑體" w:hAnsi="微軟正黑體" w:hint="eastAsia"/>
          <w:b/>
          <w:szCs w:val="24"/>
        </w:rPr>
        <w:t>投信更新「</w:t>
      </w:r>
      <w:proofErr w:type="gramStart"/>
      <w:r w:rsidR="0010799F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10799F" w:rsidRPr="00B418A1">
        <w:rPr>
          <w:rFonts w:ascii="微軟正黑體" w:eastAsia="微軟正黑體" w:hAnsi="微軟正黑體" w:hint="eastAsia"/>
          <w:b/>
          <w:szCs w:val="24"/>
        </w:rPr>
        <w:t>全球高收益債券證券投資信託基金」之公開說明書，詳細內容請至</w:t>
      </w:r>
      <w:proofErr w:type="gramStart"/>
      <w:r w:rsidR="0010799F" w:rsidRPr="00B418A1">
        <w:rPr>
          <w:rFonts w:ascii="微軟正黑體" w:eastAsia="微軟正黑體" w:hAnsi="微軟正黑體" w:hint="eastAsia"/>
          <w:b/>
          <w:szCs w:val="24"/>
        </w:rPr>
        <w:t>路博邁投信官網</w:t>
      </w:r>
      <w:proofErr w:type="gramEnd"/>
      <w:r w:rsidR="0010799F" w:rsidRPr="00B418A1">
        <w:rPr>
          <w:rFonts w:ascii="微軟正黑體" w:eastAsia="微軟正黑體" w:hAnsi="微軟正黑體" w:hint="eastAsia"/>
          <w:b/>
          <w:szCs w:val="24"/>
        </w:rPr>
        <w:t>查看。</w:t>
      </w:r>
    </w:p>
    <w:p w:rsidR="0029664C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二、</w:t>
      </w:r>
      <w:r w:rsidR="0029664C" w:rsidRPr="00B418A1">
        <w:rPr>
          <w:rFonts w:ascii="微軟正黑體" w:eastAsia="微軟正黑體" w:hAnsi="微軟正黑體" w:hint="eastAsia"/>
          <w:b/>
          <w:szCs w:val="24"/>
        </w:rPr>
        <w:t>富盛投顧總代理「先機環球基金」之股東常會決議通知，詳細內容請至富盛</w:t>
      </w:r>
      <w:proofErr w:type="gramStart"/>
      <w:r w:rsidR="0029664C" w:rsidRPr="00B418A1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29664C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947B03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三、</w:t>
      </w:r>
      <w:proofErr w:type="gramStart"/>
      <w:r w:rsidR="00947B03" w:rsidRPr="00B418A1">
        <w:rPr>
          <w:rFonts w:ascii="微軟正黑體" w:eastAsia="微軟正黑體" w:hAnsi="微軟正黑體" w:hint="eastAsia"/>
          <w:b/>
          <w:szCs w:val="24"/>
        </w:rPr>
        <w:t>法巴投顧</w:t>
      </w:r>
      <w:proofErr w:type="gramEnd"/>
      <w:r w:rsidR="00947B03" w:rsidRPr="00B418A1">
        <w:rPr>
          <w:rFonts w:ascii="微軟正黑體" w:eastAsia="微軟正黑體" w:hAnsi="微軟正黑體" w:hint="eastAsia"/>
          <w:b/>
          <w:szCs w:val="24"/>
        </w:rPr>
        <w:t>更新「</w:t>
      </w:r>
      <w:proofErr w:type="gramStart"/>
      <w:r w:rsidR="00947B03" w:rsidRPr="00B418A1">
        <w:rPr>
          <w:rFonts w:ascii="微軟正黑體" w:eastAsia="微軟正黑體" w:hAnsi="微軟正黑體" w:hint="eastAsia"/>
          <w:b/>
          <w:szCs w:val="24"/>
        </w:rPr>
        <w:t>法巴百</w:t>
      </w:r>
      <w:proofErr w:type="gramEnd"/>
      <w:r w:rsidR="00947B03" w:rsidRPr="00B418A1">
        <w:rPr>
          <w:rFonts w:ascii="微軟正黑體" w:eastAsia="微軟正黑體" w:hAnsi="微軟正黑體" w:hint="eastAsia"/>
          <w:b/>
          <w:szCs w:val="24"/>
        </w:rPr>
        <w:t>利</w:t>
      </w:r>
      <w:r w:rsidR="00EB2B0D" w:rsidRPr="00B418A1">
        <w:rPr>
          <w:rFonts w:ascii="微軟正黑體" w:eastAsia="微軟正黑體" w:hAnsi="微軟正黑體" w:hint="eastAsia"/>
          <w:b/>
          <w:szCs w:val="24"/>
        </w:rPr>
        <w:t>達</w:t>
      </w:r>
      <w:r w:rsidR="00947B03" w:rsidRPr="00B418A1">
        <w:rPr>
          <w:rFonts w:ascii="微軟正黑體" w:eastAsia="微軟正黑體" w:hAnsi="微軟正黑體" w:hint="eastAsia"/>
          <w:b/>
          <w:szCs w:val="24"/>
        </w:rPr>
        <w:t>基金」之公開說明書，詳細內容請至</w:t>
      </w:r>
      <w:proofErr w:type="gramStart"/>
      <w:r w:rsidR="00947B03" w:rsidRPr="00B418A1">
        <w:rPr>
          <w:rFonts w:ascii="微軟正黑體" w:eastAsia="微軟正黑體" w:hAnsi="微軟正黑體" w:hint="eastAsia"/>
          <w:b/>
          <w:szCs w:val="24"/>
        </w:rPr>
        <w:t>法巴投顧官網</w:t>
      </w:r>
      <w:proofErr w:type="gramEnd"/>
      <w:r w:rsidR="00947B03" w:rsidRPr="00B418A1">
        <w:rPr>
          <w:rFonts w:ascii="微軟正黑體" w:eastAsia="微軟正黑體" w:hAnsi="微軟正黑體" w:hint="eastAsia"/>
          <w:b/>
          <w:szCs w:val="24"/>
        </w:rPr>
        <w:t>查看。</w:t>
      </w:r>
    </w:p>
    <w:p w:rsidR="00947B03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四、</w:t>
      </w:r>
      <w:r w:rsidR="00947B03" w:rsidRPr="00B418A1">
        <w:rPr>
          <w:rFonts w:ascii="微軟正黑體" w:eastAsia="微軟正黑體" w:hAnsi="微軟正黑體" w:hint="eastAsia"/>
          <w:b/>
          <w:szCs w:val="24"/>
        </w:rPr>
        <w:t>摩根投信更新</w:t>
      </w:r>
      <w:r w:rsidR="00EB2B0D" w:rsidRPr="00B418A1">
        <w:rPr>
          <w:rFonts w:ascii="微軟正黑體" w:eastAsia="微軟正黑體" w:hAnsi="微軟正黑體" w:hint="eastAsia"/>
          <w:b/>
          <w:szCs w:val="24"/>
        </w:rPr>
        <w:t>總代理之</w:t>
      </w:r>
      <w:r w:rsidR="00947B03" w:rsidRPr="00B418A1">
        <w:rPr>
          <w:rFonts w:ascii="微軟正黑體" w:eastAsia="微軟正黑體" w:hAnsi="微軟正黑體" w:hint="eastAsia"/>
          <w:b/>
          <w:szCs w:val="24"/>
        </w:rPr>
        <w:t>境外基金</w:t>
      </w:r>
      <w:r w:rsidR="00EB2B0D" w:rsidRPr="00B418A1">
        <w:rPr>
          <w:rFonts w:ascii="微軟正黑體" w:eastAsia="微軟正黑體" w:hAnsi="微軟正黑體" w:hint="eastAsia"/>
          <w:b/>
          <w:szCs w:val="24"/>
        </w:rPr>
        <w:t>及經理之投信基金相關</w:t>
      </w:r>
      <w:r w:rsidR="00947B03" w:rsidRPr="00B418A1">
        <w:rPr>
          <w:rFonts w:ascii="微軟正黑體" w:eastAsia="微軟正黑體" w:hAnsi="微軟正黑體" w:hint="eastAsia"/>
          <w:b/>
          <w:szCs w:val="24"/>
        </w:rPr>
        <w:t>投資人須知及公開說明書，詳細內容請至摩根</w:t>
      </w:r>
      <w:proofErr w:type="gramStart"/>
      <w:r w:rsidR="00947B03" w:rsidRPr="00B418A1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47B03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C06CA8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五、</w:t>
      </w:r>
      <w:r w:rsidR="00C06CA8" w:rsidRPr="00B418A1">
        <w:rPr>
          <w:rFonts w:ascii="微軟正黑體" w:eastAsia="微軟正黑體" w:hAnsi="微軟正黑體" w:hint="eastAsia"/>
          <w:b/>
          <w:szCs w:val="24"/>
        </w:rPr>
        <w:t>野村投信總代理之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ＮＮ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（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Ｌ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）亞洲債券基金，將自民國１０７年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月２２日起，恢復投資人申購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（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含現有其他基金之轉申購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（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入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）</w:t>
      </w:r>
      <w:r w:rsidR="00C06CA8" w:rsidRPr="00B418A1">
        <w:rPr>
          <w:rFonts w:ascii="微軟正黑體" w:eastAsia="微軟正黑體" w:hAnsi="微軟正黑體"/>
          <w:b/>
          <w:szCs w:val="24"/>
        </w:rPr>
        <w:t>）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之申請，詳細內容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請至野村投信官網查看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C06CA8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六、</w:t>
      </w:r>
      <w:r w:rsidR="00C06CA8" w:rsidRPr="00B418A1">
        <w:rPr>
          <w:rFonts w:ascii="微軟正黑體" w:eastAsia="微軟正黑體" w:hAnsi="微軟正黑體" w:hint="eastAsia"/>
          <w:b/>
          <w:szCs w:val="24"/>
        </w:rPr>
        <w:t>安本標準投信更新「安本環球系列基金」之公開說明書，詳細內容請至安本標準</w:t>
      </w:r>
      <w:proofErr w:type="gramStart"/>
      <w:r w:rsidR="00C06CA8" w:rsidRPr="00B418A1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C06CA8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3F6417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七、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投信更新「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全球高收益債券證券投資信託基金」之公開說明書，詳細內容請至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路博邁投信官網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查看。</w:t>
      </w:r>
    </w:p>
    <w:p w:rsidR="003F6417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八、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投信更新「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收益成長多重資產證券投資信託基金」之公開說明書，詳細內容請至</w:t>
      </w:r>
      <w:proofErr w:type="gramStart"/>
      <w:r w:rsidR="003F6417" w:rsidRPr="00B418A1">
        <w:rPr>
          <w:rFonts w:ascii="微軟正黑體" w:eastAsia="微軟正黑體" w:hAnsi="微軟正黑體" w:hint="eastAsia"/>
          <w:b/>
          <w:szCs w:val="24"/>
        </w:rPr>
        <w:t>路博邁投信官網</w:t>
      </w:r>
      <w:proofErr w:type="gramEnd"/>
      <w:r w:rsidR="003F6417" w:rsidRPr="00B418A1">
        <w:rPr>
          <w:rFonts w:ascii="微軟正黑體" w:eastAsia="微軟正黑體" w:hAnsi="微軟正黑體" w:hint="eastAsia"/>
          <w:b/>
          <w:szCs w:val="24"/>
        </w:rPr>
        <w:t>查看。</w:t>
      </w:r>
    </w:p>
    <w:p w:rsidR="00434CD9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九、</w:t>
      </w:r>
      <w:proofErr w:type="gramStart"/>
      <w:r w:rsidR="00434CD9" w:rsidRPr="00B418A1">
        <w:rPr>
          <w:rFonts w:ascii="微軟正黑體" w:eastAsia="微軟正黑體" w:hAnsi="微軟正黑體" w:hint="eastAsia"/>
          <w:b/>
          <w:szCs w:val="24"/>
        </w:rPr>
        <w:t>路博邁</w:t>
      </w:r>
      <w:proofErr w:type="gramEnd"/>
      <w:r w:rsidR="00434CD9" w:rsidRPr="00B418A1">
        <w:rPr>
          <w:rFonts w:ascii="微軟正黑體" w:eastAsia="微軟正黑體" w:hAnsi="微軟正黑體" w:hint="eastAsia"/>
          <w:b/>
          <w:szCs w:val="24"/>
        </w:rPr>
        <w:t>投信更新「</w:t>
      </w:r>
      <w:proofErr w:type="gramStart"/>
      <w:r w:rsidR="00434CD9" w:rsidRPr="00B418A1">
        <w:rPr>
          <w:rFonts w:ascii="微軟正黑體" w:eastAsia="微軟正黑體" w:hAnsi="微軟正黑體" w:hint="eastAsia"/>
          <w:b/>
          <w:szCs w:val="24"/>
        </w:rPr>
        <w:t>路博邁ＡＲ</w:t>
      </w:r>
      <w:proofErr w:type="gramEnd"/>
      <w:r w:rsidR="00434CD9" w:rsidRPr="00B418A1">
        <w:rPr>
          <w:rFonts w:ascii="微軟正黑體" w:eastAsia="微軟正黑體" w:hAnsi="微軟正黑體" w:hint="eastAsia"/>
          <w:b/>
          <w:szCs w:val="24"/>
        </w:rPr>
        <w:t>台灣股票證券投資信託基金」之公開說明書，詳細內容請至</w:t>
      </w:r>
      <w:proofErr w:type="gramStart"/>
      <w:r w:rsidR="00434CD9" w:rsidRPr="00B418A1">
        <w:rPr>
          <w:rFonts w:ascii="微軟正黑體" w:eastAsia="微軟正黑體" w:hAnsi="微軟正黑體" w:hint="eastAsia"/>
          <w:b/>
          <w:szCs w:val="24"/>
        </w:rPr>
        <w:t>路博邁投</w:t>
      </w:r>
      <w:r w:rsidR="00434CD9" w:rsidRPr="00B418A1">
        <w:rPr>
          <w:rFonts w:ascii="微軟正黑體" w:eastAsia="微軟正黑體" w:hAnsi="微軟正黑體" w:hint="eastAsia"/>
          <w:b/>
          <w:szCs w:val="24"/>
        </w:rPr>
        <w:lastRenderedPageBreak/>
        <w:t>信官網</w:t>
      </w:r>
      <w:proofErr w:type="gramEnd"/>
      <w:r w:rsidR="00434CD9" w:rsidRPr="00B418A1">
        <w:rPr>
          <w:rFonts w:ascii="微軟正黑體" w:eastAsia="微軟正黑體" w:hAnsi="微軟正黑體" w:hint="eastAsia"/>
          <w:b/>
          <w:szCs w:val="24"/>
        </w:rPr>
        <w:t>查看。</w:t>
      </w:r>
    </w:p>
    <w:p w:rsidR="00434CD9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十、</w:t>
      </w:r>
      <w:proofErr w:type="gramStart"/>
      <w:r w:rsidR="00434CD9" w:rsidRPr="00B418A1">
        <w:rPr>
          <w:rFonts w:ascii="微軟正黑體" w:eastAsia="微軟正黑體" w:hAnsi="微軟正黑體" w:hint="eastAsia"/>
          <w:b/>
          <w:szCs w:val="24"/>
        </w:rPr>
        <w:t>安標標準</w:t>
      </w:r>
      <w:proofErr w:type="gramEnd"/>
      <w:r w:rsidR="00434CD9" w:rsidRPr="00B418A1">
        <w:rPr>
          <w:rFonts w:ascii="微軟正黑體" w:eastAsia="微軟正黑體" w:hAnsi="微軟正黑體" w:hint="eastAsia"/>
          <w:b/>
          <w:szCs w:val="24"/>
        </w:rPr>
        <w:t>投信更新２０１８年第３季「安本環球系列基金」之投資人須知暨公開說明書，詳細內容請</w:t>
      </w:r>
      <w:proofErr w:type="gramStart"/>
      <w:r w:rsidR="00434CD9" w:rsidRPr="00B418A1">
        <w:rPr>
          <w:rFonts w:ascii="微軟正黑體" w:eastAsia="微軟正黑體" w:hAnsi="微軟正黑體" w:hint="eastAsia"/>
          <w:b/>
          <w:szCs w:val="24"/>
        </w:rPr>
        <w:t>至安標標準投信官網查看</w:t>
      </w:r>
      <w:proofErr w:type="gramEnd"/>
      <w:r w:rsidR="00434CD9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7139DB" w:rsidRPr="00B418A1" w:rsidRDefault="006A4FF7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B418A1">
        <w:rPr>
          <w:rFonts w:ascii="微軟正黑體" w:eastAsia="微軟正黑體" w:hAnsi="微軟正黑體" w:hint="eastAsia"/>
          <w:b/>
          <w:szCs w:val="24"/>
        </w:rPr>
        <w:t>十一、</w:t>
      </w:r>
      <w:r w:rsidR="007139DB" w:rsidRPr="00B418A1">
        <w:rPr>
          <w:rFonts w:ascii="微軟正黑體" w:eastAsia="微軟正黑體" w:hAnsi="微軟正黑體" w:hint="eastAsia"/>
          <w:b/>
          <w:szCs w:val="24"/>
        </w:rPr>
        <w:t>日盛投信總代理</w:t>
      </w:r>
      <w:r w:rsidR="007139DB" w:rsidRPr="00B418A1">
        <w:rPr>
          <w:rFonts w:ascii="微軟正黑體" w:eastAsia="微軟正黑體" w:hAnsi="微軟正黑體" w:cs="新細明體" w:hint="eastAsia"/>
          <w:b/>
          <w:kern w:val="0"/>
          <w:szCs w:val="24"/>
        </w:rPr>
        <w:t>之</w:t>
      </w:r>
      <w:r w:rsidR="007139DB" w:rsidRPr="00B418A1">
        <w:rPr>
          <w:rFonts w:ascii="微軟正黑體" w:eastAsia="微軟正黑體" w:hAnsi="微軟正黑體" w:hint="eastAsia"/>
          <w:b/>
          <w:szCs w:val="24"/>
        </w:rPr>
        <w:t>「日盛小而美證券投資信託基金」、「日盛新台商證券投資信託基金」「日盛日盛證券投資信託基金」「日盛中國內需動力證券投資信託基金」及「日盛全球抗暖化證券投資信託基金」等五檔基金修正證券投資信託契約部分條文及公開說明書，詳細說明請至日盛</w:t>
      </w:r>
      <w:proofErr w:type="gramStart"/>
      <w:r w:rsidR="007139DB" w:rsidRPr="00B418A1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7139DB" w:rsidRPr="00B418A1">
        <w:rPr>
          <w:rFonts w:ascii="微軟正黑體" w:eastAsia="微軟正黑體" w:hAnsi="微軟正黑體" w:hint="eastAsia"/>
          <w:b/>
          <w:szCs w:val="24"/>
        </w:rPr>
        <w:t>。</w:t>
      </w:r>
    </w:p>
    <w:p w:rsidR="0059336E" w:rsidRPr="00061061" w:rsidRDefault="0059336E" w:rsidP="00B418A1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【近期召開股東大會基金公司如下，詳細內容請至各投信投顧公司官網查看】</w:t>
      </w:r>
    </w:p>
    <w:p w:rsidR="006C1E02" w:rsidRPr="003B39A8" w:rsidRDefault="00B418A1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3B39A8">
        <w:rPr>
          <w:rFonts w:ascii="微軟正黑體" w:eastAsia="微軟正黑體" w:hAnsi="微軟正黑體" w:hint="eastAsia"/>
          <w:b/>
          <w:szCs w:val="24"/>
        </w:rPr>
        <w:t>一、</w:t>
      </w:r>
      <w:r w:rsidR="006C1E02" w:rsidRPr="003B39A8">
        <w:rPr>
          <w:rFonts w:ascii="微軟正黑體" w:eastAsia="微軟正黑體" w:hAnsi="微軟正黑體" w:hint="eastAsia"/>
          <w:b/>
          <w:szCs w:val="24"/>
        </w:rPr>
        <w:t>宏利投信總代理「宏利環球基金」之股東大會將在２０１８年</w:t>
      </w:r>
      <w:proofErr w:type="gramStart"/>
      <w:r w:rsidR="006C1E02" w:rsidRPr="003B39A8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6C1E02" w:rsidRPr="003B39A8">
        <w:rPr>
          <w:rFonts w:ascii="微軟正黑體" w:eastAsia="微軟正黑體" w:hAnsi="微軟正黑體" w:hint="eastAsia"/>
          <w:b/>
          <w:szCs w:val="24"/>
        </w:rPr>
        <w:t>月１９日舉行。</w:t>
      </w:r>
    </w:p>
    <w:p w:rsidR="00C23EF9" w:rsidRPr="003B39A8" w:rsidRDefault="00B418A1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3B39A8">
        <w:rPr>
          <w:rFonts w:ascii="微軟正黑體" w:eastAsia="微軟正黑體" w:hAnsi="微軟正黑體" w:hint="eastAsia"/>
          <w:b/>
          <w:szCs w:val="24"/>
        </w:rPr>
        <w:t>二、</w:t>
      </w:r>
      <w:r w:rsidR="00C23EF9" w:rsidRPr="003B39A8">
        <w:rPr>
          <w:rFonts w:ascii="微軟正黑體" w:eastAsia="微軟正黑體" w:hAnsi="微軟正黑體" w:hint="eastAsia"/>
          <w:b/>
          <w:szCs w:val="24"/>
        </w:rPr>
        <w:t>摩根投信總代理「摩根基金」之股東大會將在２０１８年</w:t>
      </w:r>
      <w:proofErr w:type="gramStart"/>
      <w:r w:rsidR="00C23EF9" w:rsidRPr="003B39A8">
        <w:rPr>
          <w:rFonts w:ascii="微軟正黑體" w:eastAsia="微軟正黑體" w:hAnsi="微軟正黑體" w:hint="eastAsia"/>
          <w:b/>
          <w:szCs w:val="24"/>
        </w:rPr>
        <w:t>１１</w:t>
      </w:r>
      <w:proofErr w:type="gramEnd"/>
      <w:r w:rsidR="00C23EF9" w:rsidRPr="003B39A8">
        <w:rPr>
          <w:rFonts w:ascii="微軟正黑體" w:eastAsia="微軟正黑體" w:hAnsi="微軟正黑體" w:hint="eastAsia"/>
          <w:b/>
          <w:szCs w:val="24"/>
        </w:rPr>
        <w:t>月２１日舉行。</w:t>
      </w:r>
    </w:p>
    <w:p w:rsidR="00522F6A" w:rsidRPr="003B39A8" w:rsidRDefault="00B418A1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3B39A8">
        <w:rPr>
          <w:rFonts w:ascii="微軟正黑體" w:eastAsia="微軟正黑體" w:hAnsi="微軟正黑體" w:hint="eastAsia"/>
          <w:b/>
          <w:szCs w:val="24"/>
        </w:rPr>
        <w:t>三、</w:t>
      </w:r>
      <w:r w:rsidR="00522F6A" w:rsidRPr="003B39A8">
        <w:rPr>
          <w:rFonts w:ascii="微軟正黑體" w:eastAsia="微軟正黑體" w:hAnsi="微軟正黑體" w:hint="eastAsia"/>
          <w:b/>
          <w:szCs w:val="24"/>
        </w:rPr>
        <w:t>野村投信總代理「</w:t>
      </w:r>
      <w:proofErr w:type="gramStart"/>
      <w:r w:rsidR="00522F6A" w:rsidRPr="003B39A8">
        <w:rPr>
          <w:rFonts w:ascii="微軟正黑體" w:eastAsia="微軟正黑體" w:hAnsi="微軟正黑體" w:hint="eastAsia"/>
          <w:b/>
          <w:szCs w:val="24"/>
        </w:rPr>
        <w:t>ＮＮ</w:t>
      </w:r>
      <w:proofErr w:type="gramEnd"/>
      <w:r w:rsidR="00522F6A" w:rsidRPr="003B39A8">
        <w:rPr>
          <w:rFonts w:ascii="微軟正黑體" w:eastAsia="微軟正黑體" w:hAnsi="微軟正黑體" w:hint="eastAsia"/>
          <w:b/>
          <w:szCs w:val="24"/>
        </w:rPr>
        <w:t>（</w:t>
      </w:r>
      <w:proofErr w:type="gramStart"/>
      <w:r w:rsidR="00522F6A" w:rsidRPr="003B39A8">
        <w:rPr>
          <w:rFonts w:ascii="微軟正黑體" w:eastAsia="微軟正黑體" w:hAnsi="微軟正黑體" w:hint="eastAsia"/>
          <w:b/>
          <w:szCs w:val="24"/>
        </w:rPr>
        <w:t>Ｌ</w:t>
      </w:r>
      <w:proofErr w:type="gramEnd"/>
      <w:r w:rsidR="00522F6A" w:rsidRPr="003B39A8">
        <w:rPr>
          <w:rFonts w:ascii="微軟正黑體" w:eastAsia="微軟正黑體" w:hAnsi="微軟正黑體" w:hint="eastAsia"/>
          <w:b/>
          <w:szCs w:val="24"/>
        </w:rPr>
        <w:t>）系列境外基金」之股東大會將在２０１８年</w:t>
      </w:r>
      <w:proofErr w:type="gramStart"/>
      <w:r w:rsidR="00522F6A" w:rsidRPr="003B39A8">
        <w:rPr>
          <w:rFonts w:ascii="微軟正黑體" w:eastAsia="微軟正黑體" w:hAnsi="微軟正黑體" w:hint="eastAsia"/>
          <w:b/>
          <w:szCs w:val="24"/>
        </w:rPr>
        <w:t>１０</w:t>
      </w:r>
      <w:proofErr w:type="gramEnd"/>
      <w:r w:rsidR="00522F6A" w:rsidRPr="003B39A8">
        <w:rPr>
          <w:rFonts w:ascii="微軟正黑體" w:eastAsia="微軟正黑體" w:hAnsi="微軟正黑體" w:hint="eastAsia"/>
          <w:b/>
          <w:szCs w:val="24"/>
        </w:rPr>
        <w:t>月１０日舉行。</w:t>
      </w:r>
    </w:p>
    <w:p w:rsidR="00522F6A" w:rsidRPr="00522F6A" w:rsidRDefault="00B418A1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3B39A8">
        <w:rPr>
          <w:rFonts w:ascii="微軟正黑體" w:eastAsia="微軟正黑體" w:hAnsi="微軟正黑體" w:hint="eastAsia"/>
          <w:b/>
          <w:szCs w:val="24"/>
        </w:rPr>
        <w:t>四、</w:t>
      </w:r>
      <w:r w:rsidR="00522F6A" w:rsidRPr="003B39A8">
        <w:rPr>
          <w:rFonts w:ascii="微軟正黑體" w:eastAsia="微軟正黑體" w:hAnsi="微軟正黑體" w:hint="eastAsia"/>
          <w:b/>
          <w:szCs w:val="24"/>
        </w:rPr>
        <w:t>富蘭克林投顧之「富蘭克林坦伯頓全球投資系列基金」年度股東大會及特別股東大會將在２０１８</w:t>
      </w:r>
      <w:r w:rsidR="00522F6A" w:rsidRPr="00522F6A">
        <w:rPr>
          <w:rFonts w:ascii="微軟正黑體" w:eastAsia="微軟正黑體" w:hAnsi="微軟正黑體" w:hint="eastAsia"/>
          <w:b/>
          <w:szCs w:val="24"/>
        </w:rPr>
        <w:t>年１</w:t>
      </w:r>
      <w:proofErr w:type="gramStart"/>
      <w:r w:rsidR="00522F6A">
        <w:rPr>
          <w:rFonts w:ascii="微軟正黑體" w:eastAsia="微軟正黑體" w:hAnsi="微軟正黑體" w:hint="eastAsia"/>
          <w:b/>
          <w:szCs w:val="24"/>
        </w:rPr>
        <w:t>1</w:t>
      </w:r>
      <w:proofErr w:type="gramEnd"/>
      <w:r w:rsidR="00522F6A" w:rsidRPr="00522F6A">
        <w:rPr>
          <w:rFonts w:ascii="微軟正黑體" w:eastAsia="微軟正黑體" w:hAnsi="微軟正黑體" w:hint="eastAsia"/>
          <w:b/>
          <w:szCs w:val="24"/>
        </w:rPr>
        <w:t>月</w:t>
      </w:r>
      <w:r w:rsidR="00522F6A">
        <w:rPr>
          <w:rFonts w:ascii="微軟正黑體" w:eastAsia="微軟正黑體" w:hAnsi="微軟正黑體" w:hint="eastAsia"/>
          <w:b/>
          <w:szCs w:val="24"/>
        </w:rPr>
        <w:t>30</w:t>
      </w:r>
      <w:r w:rsidR="00522F6A" w:rsidRPr="00522F6A">
        <w:rPr>
          <w:rFonts w:ascii="微軟正黑體" w:eastAsia="微軟正黑體" w:hAnsi="微軟正黑體" w:hint="eastAsia"/>
          <w:b/>
          <w:szCs w:val="24"/>
        </w:rPr>
        <w:t>日舉行。</w:t>
      </w:r>
    </w:p>
    <w:p w:rsidR="00DA5B07" w:rsidRPr="0059336E" w:rsidRDefault="00F96F71" w:rsidP="00B418A1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59336E">
        <w:rPr>
          <w:rFonts w:ascii="微軟正黑體" w:eastAsia="微軟正黑體" w:hAnsi="微軟正黑體" w:hint="eastAsia"/>
          <w:b/>
          <w:color w:val="FF0000"/>
          <w:szCs w:val="24"/>
        </w:rPr>
        <w:t>【海外商品訊息】</w:t>
      </w:r>
    </w:p>
    <w:p w:rsidR="002D1660" w:rsidRPr="00DA4EBD" w:rsidRDefault="00DA4EBD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一、</w:t>
      </w:r>
      <w:r w:rsidR="002D1660" w:rsidRPr="00DA4EBD">
        <w:rPr>
          <w:rFonts w:ascii="微軟正黑體" w:eastAsia="微軟正黑體" w:hAnsi="微軟正黑體" w:hint="eastAsia"/>
          <w:b/>
          <w:szCs w:val="24"/>
        </w:rPr>
        <w:t>好市多美元公司債２０２７（</w:t>
      </w:r>
      <w:proofErr w:type="gramStart"/>
      <w:r w:rsidR="002D1660" w:rsidRPr="00DA4EBD">
        <w:rPr>
          <w:rFonts w:ascii="微軟正黑體" w:eastAsia="微軟正黑體" w:hAnsi="微軟正黑體" w:hint="eastAsia"/>
          <w:b/>
          <w:szCs w:val="24"/>
        </w:rPr>
        <w:t>Ｆ</w:t>
      </w:r>
      <w:proofErr w:type="gramEnd"/>
      <w:r w:rsidR="002D1660" w:rsidRPr="00DA4EBD">
        <w:rPr>
          <w:rFonts w:ascii="微軟正黑體" w:eastAsia="微軟正黑體" w:hAnsi="微軟正黑體" w:hint="eastAsia"/>
          <w:b/>
          <w:szCs w:val="24"/>
        </w:rPr>
        <w:t>A３７）債券信用評等調整：</w:t>
      </w:r>
    </w:p>
    <w:p w:rsidR="002D1660" w:rsidRPr="00DA4EBD" w:rsidRDefault="002D1660" w:rsidP="00DA4EBD">
      <w:pPr>
        <w:ind w:left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調整前信用評等穆迪A１／標準普爾A＋／</w:t>
      </w:r>
      <w:proofErr w:type="gramStart"/>
      <w:r w:rsidRPr="00DA4EBD">
        <w:rPr>
          <w:rFonts w:ascii="微軟正黑體" w:eastAsia="微軟正黑體" w:hAnsi="微軟正黑體" w:hint="eastAsia"/>
          <w:b/>
          <w:szCs w:val="24"/>
        </w:rPr>
        <w:t>惠譽</w:t>
      </w:r>
      <w:proofErr w:type="gramEnd"/>
      <w:r w:rsidRPr="00DA4EBD">
        <w:rPr>
          <w:rFonts w:ascii="微軟正黑體" w:eastAsia="微軟正黑體" w:hAnsi="微軟正黑體" w:hint="eastAsia"/>
          <w:b/>
          <w:szCs w:val="24"/>
        </w:rPr>
        <w:t>A</w:t>
      </w:r>
      <w:r w:rsidR="00260B7A" w:rsidRPr="00DA4EBD">
        <w:rPr>
          <w:rFonts w:ascii="微軟正黑體" w:eastAsia="微軟正黑體" w:hAnsi="微軟正黑體" w:hint="eastAsia"/>
          <w:b/>
          <w:szCs w:val="24"/>
        </w:rPr>
        <w:t>＋</w:t>
      </w:r>
      <w:r w:rsidRPr="00DA4EBD">
        <w:rPr>
          <w:rFonts w:ascii="微軟正黑體" w:eastAsia="微軟正黑體" w:hAnsi="微軟正黑體" w:hint="eastAsia"/>
          <w:b/>
          <w:szCs w:val="24"/>
        </w:rPr>
        <w:t>；</w:t>
      </w:r>
    </w:p>
    <w:p w:rsidR="002D1660" w:rsidRPr="00DA4EBD" w:rsidRDefault="002D1660" w:rsidP="00DA4EBD">
      <w:pPr>
        <w:ind w:left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調整後信用評等穆迪A</w:t>
      </w:r>
      <w:r w:rsidR="00260B7A" w:rsidRPr="00DA4EBD">
        <w:rPr>
          <w:rFonts w:ascii="微軟正黑體" w:eastAsia="微軟正黑體" w:hAnsi="微軟正黑體" w:hint="eastAsia"/>
          <w:b/>
          <w:szCs w:val="24"/>
        </w:rPr>
        <w:t>ａ</w:t>
      </w:r>
      <w:r w:rsidRPr="00DA4EBD">
        <w:rPr>
          <w:rFonts w:ascii="微軟正黑體" w:eastAsia="微軟正黑體" w:hAnsi="微軟正黑體" w:hint="eastAsia"/>
          <w:b/>
          <w:szCs w:val="24"/>
        </w:rPr>
        <w:t>3／標準普爾</w:t>
      </w:r>
      <w:proofErr w:type="gramStart"/>
      <w:r w:rsidR="00260B7A" w:rsidRPr="00DA4EBD">
        <w:rPr>
          <w:rFonts w:ascii="微軟正黑體" w:eastAsia="微軟正黑體" w:hAnsi="微軟正黑體" w:hint="eastAsia"/>
          <w:b/>
          <w:szCs w:val="24"/>
        </w:rPr>
        <w:t>Ａ</w:t>
      </w:r>
      <w:proofErr w:type="gramEnd"/>
      <w:r w:rsidRPr="00DA4EBD">
        <w:rPr>
          <w:rFonts w:ascii="微軟正黑體" w:eastAsia="微軟正黑體" w:hAnsi="微軟正黑體" w:hint="eastAsia"/>
          <w:b/>
          <w:szCs w:val="24"/>
        </w:rPr>
        <w:t>＋／</w:t>
      </w:r>
      <w:proofErr w:type="gramStart"/>
      <w:r w:rsidRPr="00DA4EBD">
        <w:rPr>
          <w:rFonts w:ascii="微軟正黑體" w:eastAsia="微軟正黑體" w:hAnsi="微軟正黑體" w:hint="eastAsia"/>
          <w:b/>
          <w:szCs w:val="24"/>
        </w:rPr>
        <w:t>惠譽</w:t>
      </w:r>
      <w:proofErr w:type="gramEnd"/>
      <w:r w:rsidRPr="00DA4EBD">
        <w:rPr>
          <w:rFonts w:ascii="微軟正黑體" w:eastAsia="微軟正黑體" w:hAnsi="微軟正黑體" w:hint="eastAsia"/>
          <w:b/>
          <w:szCs w:val="24"/>
        </w:rPr>
        <w:t>A</w:t>
      </w:r>
      <w:r w:rsidR="00260B7A" w:rsidRPr="00DA4EBD">
        <w:rPr>
          <w:rFonts w:ascii="微軟正黑體" w:eastAsia="微軟正黑體" w:hAnsi="微軟正黑體" w:hint="eastAsia"/>
          <w:b/>
          <w:szCs w:val="24"/>
        </w:rPr>
        <w:t>＋</w:t>
      </w:r>
      <w:r w:rsidRPr="00DA4EBD">
        <w:rPr>
          <w:rFonts w:ascii="微軟正黑體" w:eastAsia="微軟正黑體" w:hAnsi="微軟正黑體" w:hint="eastAsia"/>
          <w:b/>
          <w:szCs w:val="24"/>
        </w:rPr>
        <w:t>。</w:t>
      </w:r>
    </w:p>
    <w:p w:rsidR="00114A3D" w:rsidRPr="00DA4EBD" w:rsidRDefault="00DA4EBD" w:rsidP="00B418A1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二、</w:t>
      </w:r>
      <w:r w:rsidR="00C84699" w:rsidRPr="00DA4EBD">
        <w:rPr>
          <w:rFonts w:ascii="微軟正黑體" w:eastAsia="微軟正黑體" w:hAnsi="微軟正黑體" w:hint="eastAsia"/>
          <w:b/>
          <w:szCs w:val="24"/>
        </w:rPr>
        <w:t>台塑集團（開</w:t>
      </w:r>
      <w:proofErr w:type="gramStart"/>
      <w:r w:rsidR="00C84699" w:rsidRPr="00DA4EBD">
        <w:rPr>
          <w:rFonts w:ascii="微軟正黑體" w:eastAsia="微軟正黑體" w:hAnsi="微軟正黑體" w:hint="eastAsia"/>
          <w:b/>
          <w:szCs w:val="24"/>
        </w:rPr>
        <w:t>曼</w:t>
      </w:r>
      <w:proofErr w:type="gramEnd"/>
      <w:r w:rsidR="00C84699" w:rsidRPr="00DA4EBD">
        <w:rPr>
          <w:rFonts w:ascii="微軟正黑體" w:eastAsia="微軟正黑體" w:hAnsi="微軟正黑體" w:hint="eastAsia"/>
          <w:b/>
          <w:szCs w:val="24"/>
        </w:rPr>
        <w:t>）美元公司債</w:t>
      </w:r>
      <w:r w:rsidR="00114A3D" w:rsidRPr="00DA4EBD">
        <w:rPr>
          <w:rFonts w:ascii="微軟正黑體" w:eastAsia="微軟正黑體" w:hAnsi="微軟正黑體" w:hint="eastAsia"/>
          <w:b/>
          <w:szCs w:val="24"/>
        </w:rPr>
        <w:t>２０２</w:t>
      </w:r>
      <w:r w:rsidR="00C84699" w:rsidRPr="00DA4EBD">
        <w:rPr>
          <w:rFonts w:ascii="微軟正黑體" w:eastAsia="微軟正黑體" w:hAnsi="微軟正黑體" w:hint="eastAsia"/>
          <w:b/>
          <w:szCs w:val="24"/>
        </w:rPr>
        <w:t>５</w:t>
      </w:r>
      <w:r w:rsidR="00114A3D" w:rsidRPr="00DA4EBD">
        <w:rPr>
          <w:rFonts w:ascii="微軟正黑體" w:eastAsia="微軟正黑體" w:hAnsi="微軟正黑體" w:hint="eastAsia"/>
          <w:b/>
          <w:szCs w:val="24"/>
        </w:rPr>
        <w:t>（</w:t>
      </w:r>
      <w:proofErr w:type="gramStart"/>
      <w:r w:rsidR="00C84699" w:rsidRPr="00DA4EBD">
        <w:rPr>
          <w:rFonts w:ascii="微軟正黑體" w:eastAsia="微軟正黑體" w:hAnsi="微軟正黑體" w:hint="eastAsia"/>
          <w:b/>
          <w:szCs w:val="24"/>
        </w:rPr>
        <w:t>Ｃ</w:t>
      </w:r>
      <w:proofErr w:type="gramEnd"/>
      <w:r w:rsidR="00114A3D" w:rsidRPr="00DA4EBD">
        <w:rPr>
          <w:rFonts w:ascii="微軟正黑體" w:eastAsia="微軟正黑體" w:hAnsi="微軟正黑體" w:hint="eastAsia"/>
          <w:b/>
          <w:szCs w:val="24"/>
        </w:rPr>
        <w:t>A</w:t>
      </w:r>
      <w:r w:rsidR="00C84699" w:rsidRPr="00DA4EBD">
        <w:rPr>
          <w:rFonts w:ascii="微軟正黑體" w:eastAsia="微軟正黑體" w:hAnsi="微軟正黑體" w:hint="eastAsia"/>
          <w:b/>
          <w:szCs w:val="24"/>
        </w:rPr>
        <w:t>０２</w:t>
      </w:r>
      <w:r w:rsidR="00114A3D" w:rsidRPr="00DA4EBD">
        <w:rPr>
          <w:rFonts w:ascii="微軟正黑體" w:eastAsia="微軟正黑體" w:hAnsi="微軟正黑體" w:hint="eastAsia"/>
          <w:b/>
          <w:szCs w:val="24"/>
        </w:rPr>
        <w:t>）債券信用評等調整：</w:t>
      </w:r>
    </w:p>
    <w:p w:rsidR="00114A3D" w:rsidRPr="00DA4EBD" w:rsidRDefault="00114A3D" w:rsidP="00DA4EBD">
      <w:pPr>
        <w:ind w:left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調整前信用評等穆迪</w:t>
      </w:r>
      <w:r w:rsidR="006340E9" w:rsidRPr="00DA4EBD">
        <w:rPr>
          <w:rFonts w:ascii="微軟正黑體" w:eastAsia="微軟正黑體" w:hAnsi="微軟正黑體" w:hint="eastAsia"/>
          <w:b/>
          <w:szCs w:val="24"/>
        </w:rPr>
        <w:t>－－</w:t>
      </w:r>
      <w:r w:rsidRPr="00DA4EBD">
        <w:rPr>
          <w:rFonts w:ascii="微軟正黑體" w:eastAsia="微軟正黑體" w:hAnsi="微軟正黑體" w:hint="eastAsia"/>
          <w:b/>
          <w:szCs w:val="24"/>
        </w:rPr>
        <w:t>／標準普爾</w:t>
      </w:r>
      <w:proofErr w:type="gramStart"/>
      <w:r w:rsidR="00C84699" w:rsidRPr="00DA4EBD">
        <w:rPr>
          <w:rFonts w:ascii="微軟正黑體" w:eastAsia="微軟正黑體" w:hAnsi="微軟正黑體" w:hint="eastAsia"/>
          <w:b/>
          <w:szCs w:val="24"/>
        </w:rPr>
        <w:t>ＢＢＢ</w:t>
      </w:r>
      <w:proofErr w:type="gramEnd"/>
      <w:r w:rsidR="00C84699" w:rsidRPr="00DA4EBD">
        <w:rPr>
          <w:rFonts w:ascii="微軟正黑體" w:eastAsia="微軟正黑體" w:hAnsi="微軟正黑體" w:hint="eastAsia"/>
          <w:b/>
          <w:szCs w:val="24"/>
        </w:rPr>
        <w:t>＋</w:t>
      </w:r>
      <w:r w:rsidRPr="00DA4EBD">
        <w:rPr>
          <w:rFonts w:ascii="微軟正黑體" w:eastAsia="微軟正黑體" w:hAnsi="微軟正黑體" w:hint="eastAsia"/>
          <w:b/>
          <w:szCs w:val="24"/>
        </w:rPr>
        <w:t>／</w:t>
      </w:r>
      <w:proofErr w:type="gramStart"/>
      <w:r w:rsidRPr="00DA4EBD">
        <w:rPr>
          <w:rFonts w:ascii="微軟正黑體" w:eastAsia="微軟正黑體" w:hAnsi="微軟正黑體" w:hint="eastAsia"/>
          <w:b/>
          <w:szCs w:val="24"/>
        </w:rPr>
        <w:t>惠譽</w:t>
      </w:r>
      <w:proofErr w:type="gramEnd"/>
      <w:r w:rsidR="006340E9" w:rsidRPr="00DA4EBD">
        <w:rPr>
          <w:rFonts w:ascii="微軟正黑體" w:eastAsia="微軟正黑體" w:hAnsi="微軟正黑體" w:hint="eastAsia"/>
          <w:b/>
          <w:szCs w:val="24"/>
        </w:rPr>
        <w:t>－－</w:t>
      </w:r>
      <w:r w:rsidRPr="00DA4EBD">
        <w:rPr>
          <w:rFonts w:ascii="微軟正黑體" w:eastAsia="微軟正黑體" w:hAnsi="微軟正黑體" w:hint="eastAsia"/>
          <w:b/>
          <w:szCs w:val="24"/>
        </w:rPr>
        <w:t>；</w:t>
      </w:r>
    </w:p>
    <w:p w:rsidR="00114A3D" w:rsidRPr="00DA4EBD" w:rsidRDefault="00114A3D" w:rsidP="00DA4EBD">
      <w:pPr>
        <w:ind w:left="480"/>
        <w:rPr>
          <w:rFonts w:ascii="微軟正黑體" w:eastAsia="微軟正黑體" w:hAnsi="微軟正黑體"/>
          <w:b/>
          <w:szCs w:val="24"/>
        </w:rPr>
      </w:pPr>
      <w:r w:rsidRPr="00DA4EBD">
        <w:rPr>
          <w:rFonts w:ascii="微軟正黑體" w:eastAsia="微軟正黑體" w:hAnsi="微軟正黑體" w:hint="eastAsia"/>
          <w:b/>
          <w:szCs w:val="24"/>
        </w:rPr>
        <w:t>調整後信用評等穆迪</w:t>
      </w:r>
      <w:r w:rsidR="006340E9" w:rsidRPr="00DA4EBD">
        <w:rPr>
          <w:rFonts w:ascii="微軟正黑體" w:eastAsia="微軟正黑體" w:hAnsi="微軟正黑體" w:hint="eastAsia"/>
          <w:b/>
          <w:szCs w:val="24"/>
        </w:rPr>
        <w:t>－－</w:t>
      </w:r>
      <w:r w:rsidRPr="00DA4EBD">
        <w:rPr>
          <w:rFonts w:ascii="微軟正黑體" w:eastAsia="微軟正黑體" w:hAnsi="微軟正黑體" w:hint="eastAsia"/>
          <w:b/>
          <w:szCs w:val="24"/>
        </w:rPr>
        <w:t>／標準普爾</w:t>
      </w:r>
      <w:proofErr w:type="gramStart"/>
      <w:r w:rsidRPr="00DA4EBD">
        <w:rPr>
          <w:rFonts w:ascii="微軟正黑體" w:eastAsia="微軟正黑體" w:hAnsi="微軟正黑體" w:hint="eastAsia"/>
          <w:b/>
          <w:szCs w:val="24"/>
        </w:rPr>
        <w:t>Ａ</w:t>
      </w:r>
      <w:proofErr w:type="gramEnd"/>
      <w:r w:rsidR="00C84699" w:rsidRPr="00DA4EBD">
        <w:rPr>
          <w:rFonts w:ascii="微軟正黑體" w:eastAsia="微軟正黑體" w:hAnsi="微軟正黑體" w:hint="eastAsia"/>
          <w:b/>
          <w:szCs w:val="24"/>
        </w:rPr>
        <w:t>－</w:t>
      </w:r>
      <w:r w:rsidRPr="00DA4EBD">
        <w:rPr>
          <w:rFonts w:ascii="微軟正黑體" w:eastAsia="微軟正黑體" w:hAnsi="微軟正黑體" w:hint="eastAsia"/>
          <w:b/>
          <w:szCs w:val="24"/>
        </w:rPr>
        <w:t>／</w:t>
      </w:r>
      <w:proofErr w:type="gramStart"/>
      <w:r w:rsidRPr="00DA4EBD">
        <w:rPr>
          <w:rFonts w:ascii="微軟正黑體" w:eastAsia="微軟正黑體" w:hAnsi="微軟正黑體" w:hint="eastAsia"/>
          <w:b/>
          <w:szCs w:val="24"/>
        </w:rPr>
        <w:t>惠譽</w:t>
      </w:r>
      <w:proofErr w:type="gramEnd"/>
      <w:r w:rsidR="006340E9" w:rsidRPr="00DA4EBD">
        <w:rPr>
          <w:rFonts w:ascii="微軟正黑體" w:eastAsia="微軟正黑體" w:hAnsi="微軟正黑體" w:hint="eastAsia"/>
          <w:b/>
          <w:szCs w:val="24"/>
        </w:rPr>
        <w:t>－－</w:t>
      </w:r>
      <w:r w:rsidRPr="00DA4EBD">
        <w:rPr>
          <w:rFonts w:ascii="微軟正黑體" w:eastAsia="微軟正黑體" w:hAnsi="微軟正黑體" w:hint="eastAsia"/>
          <w:b/>
          <w:szCs w:val="24"/>
        </w:rPr>
        <w:t>。</w:t>
      </w:r>
    </w:p>
    <w:p w:rsidR="00DF7C10" w:rsidRPr="00DF7C10" w:rsidRDefault="00DA4EBD" w:rsidP="00B418A1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三</w:t>
      </w:r>
      <w:r w:rsidRPr="00B418A1">
        <w:rPr>
          <w:rFonts w:ascii="微軟正黑體" w:eastAsia="微軟正黑體" w:hAnsi="微軟正黑體" w:hint="eastAsia"/>
          <w:b/>
          <w:szCs w:val="24"/>
        </w:rPr>
        <w:t>、</w:t>
      </w:r>
      <w:proofErr w:type="gramStart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南方銅業</w:t>
      </w:r>
      <w:r w:rsidR="00DF7C10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美元</w:t>
      </w:r>
      <w:proofErr w:type="gramEnd"/>
      <w:r w:rsidR="00DF7C10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公司債２０</w:t>
      </w:r>
      <w:proofErr w:type="gramStart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3</w:t>
      </w:r>
      <w:r w:rsidR="00DF7C10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５</w:t>
      </w:r>
      <w:proofErr w:type="gramEnd"/>
      <w:r w:rsidR="00DF7C10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proofErr w:type="gramStart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ＦＢ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０５</w:t>
      </w:r>
      <w:r w:rsidR="00DF7C10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）債券信用評等調整：</w:t>
      </w:r>
    </w:p>
    <w:p w:rsidR="00DF7C10" w:rsidRPr="00DF7C10" w:rsidRDefault="00DF7C10" w:rsidP="00DA4EBD">
      <w:pPr>
        <w:ind w:left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="005B3147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ａａ２</w:t>
      </w:r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／標準普爾</w:t>
      </w:r>
      <w:proofErr w:type="gramStart"/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／惠譽</w:t>
      </w:r>
      <w:proofErr w:type="gramStart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＋</w:t>
      </w:r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</w:p>
    <w:p w:rsidR="00DF7C10" w:rsidRPr="00DF7C10" w:rsidRDefault="00DF7C10" w:rsidP="00DA4EBD">
      <w:pPr>
        <w:ind w:left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lastRenderedPageBreak/>
        <w:t>調整後信用評等穆迪</w:t>
      </w:r>
      <w:proofErr w:type="gramStart"/>
      <w:r w:rsidR="005B3147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ａａ２</w:t>
      </w:r>
      <w:r w:rsidR="005B3147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／標準普爾</w:t>
      </w:r>
      <w:proofErr w:type="gramStart"/>
      <w:r w:rsidR="005B3147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＋</w:t>
      </w:r>
      <w:r w:rsidR="005B3147"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／惠譽</w:t>
      </w:r>
      <w:proofErr w:type="gramStart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="005B3147">
        <w:rPr>
          <w:rFonts w:ascii="微軟正黑體" w:eastAsia="微軟正黑體" w:hAnsi="微軟正黑體" w:hint="eastAsia"/>
          <w:b/>
          <w:color w:val="000000" w:themeColor="text1"/>
          <w:szCs w:val="24"/>
        </w:rPr>
        <w:t>＋</w:t>
      </w:r>
      <w:r w:rsidRPr="00DF7C10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F96F71" w:rsidRPr="00DF7C10" w:rsidRDefault="00F96F71" w:rsidP="00B418A1">
      <w:pPr>
        <w:ind w:left="480" w:hangingChars="200" w:hanging="480"/>
        <w:rPr>
          <w:rFonts w:ascii="微軟正黑體" w:eastAsia="微軟正黑體" w:hAnsi="微軟正黑體"/>
          <w:b/>
          <w:color w:val="7030A0"/>
          <w:szCs w:val="24"/>
        </w:rPr>
      </w:pPr>
    </w:p>
    <w:sectPr w:rsidR="00F96F71" w:rsidRPr="00DF7C10" w:rsidSect="001C3A2B">
      <w:pgSz w:w="11906" w:h="16838"/>
      <w:pgMar w:top="263" w:right="567" w:bottom="284" w:left="567" w:header="28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B0" w:rsidRDefault="00D976B0" w:rsidP="006E3015">
      <w:r>
        <w:separator/>
      </w:r>
    </w:p>
  </w:endnote>
  <w:endnote w:type="continuationSeparator" w:id="0">
    <w:p w:rsidR="00D976B0" w:rsidRDefault="00D976B0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B0" w:rsidRDefault="00D976B0" w:rsidP="006E3015">
      <w:r>
        <w:separator/>
      </w:r>
    </w:p>
  </w:footnote>
  <w:footnote w:type="continuationSeparator" w:id="0">
    <w:p w:rsidR="00D976B0" w:rsidRDefault="00D976B0" w:rsidP="006E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6"/>
    <w:rsid w:val="00000BFA"/>
    <w:rsid w:val="000043E1"/>
    <w:rsid w:val="00006FF3"/>
    <w:rsid w:val="00010248"/>
    <w:rsid w:val="000113B4"/>
    <w:rsid w:val="00011442"/>
    <w:rsid w:val="00012D58"/>
    <w:rsid w:val="000161D1"/>
    <w:rsid w:val="000175B1"/>
    <w:rsid w:val="000202DF"/>
    <w:rsid w:val="00020807"/>
    <w:rsid w:val="00023C98"/>
    <w:rsid w:val="0002627E"/>
    <w:rsid w:val="00026DE3"/>
    <w:rsid w:val="00026ED8"/>
    <w:rsid w:val="00030340"/>
    <w:rsid w:val="0003443D"/>
    <w:rsid w:val="0004062F"/>
    <w:rsid w:val="0004129E"/>
    <w:rsid w:val="00042CBB"/>
    <w:rsid w:val="00043276"/>
    <w:rsid w:val="0004363C"/>
    <w:rsid w:val="000441B5"/>
    <w:rsid w:val="00050FA2"/>
    <w:rsid w:val="000576FD"/>
    <w:rsid w:val="00061F6C"/>
    <w:rsid w:val="0006404F"/>
    <w:rsid w:val="000652D9"/>
    <w:rsid w:val="0006543E"/>
    <w:rsid w:val="0006721B"/>
    <w:rsid w:val="00077B57"/>
    <w:rsid w:val="000826CD"/>
    <w:rsid w:val="00082CD0"/>
    <w:rsid w:val="0008381C"/>
    <w:rsid w:val="00086878"/>
    <w:rsid w:val="00090196"/>
    <w:rsid w:val="00091E49"/>
    <w:rsid w:val="000959DD"/>
    <w:rsid w:val="00096A3E"/>
    <w:rsid w:val="000970B4"/>
    <w:rsid w:val="0009795B"/>
    <w:rsid w:val="000A0430"/>
    <w:rsid w:val="000A1B46"/>
    <w:rsid w:val="000A1D3B"/>
    <w:rsid w:val="000A583B"/>
    <w:rsid w:val="000B0F19"/>
    <w:rsid w:val="000B43F7"/>
    <w:rsid w:val="000B4E5E"/>
    <w:rsid w:val="000B75D6"/>
    <w:rsid w:val="000C0616"/>
    <w:rsid w:val="000C0C7A"/>
    <w:rsid w:val="000C0F3E"/>
    <w:rsid w:val="000C2920"/>
    <w:rsid w:val="000C62DD"/>
    <w:rsid w:val="000D0FC9"/>
    <w:rsid w:val="000D1062"/>
    <w:rsid w:val="000D1E78"/>
    <w:rsid w:val="000D1F8C"/>
    <w:rsid w:val="000D25AC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457C"/>
    <w:rsid w:val="000F35E6"/>
    <w:rsid w:val="000F43D2"/>
    <w:rsid w:val="000F4CC4"/>
    <w:rsid w:val="000F5396"/>
    <w:rsid w:val="000F5EC8"/>
    <w:rsid w:val="000F6C22"/>
    <w:rsid w:val="000F6E63"/>
    <w:rsid w:val="000F711A"/>
    <w:rsid w:val="000F75F5"/>
    <w:rsid w:val="00102F33"/>
    <w:rsid w:val="001037EB"/>
    <w:rsid w:val="00107704"/>
    <w:rsid w:val="0010799F"/>
    <w:rsid w:val="00107A66"/>
    <w:rsid w:val="001135EA"/>
    <w:rsid w:val="00114A3D"/>
    <w:rsid w:val="00120A98"/>
    <w:rsid w:val="00120D39"/>
    <w:rsid w:val="00123541"/>
    <w:rsid w:val="00123572"/>
    <w:rsid w:val="00123D21"/>
    <w:rsid w:val="00126CD3"/>
    <w:rsid w:val="001302C6"/>
    <w:rsid w:val="00130D0D"/>
    <w:rsid w:val="00131381"/>
    <w:rsid w:val="001314B5"/>
    <w:rsid w:val="00133D34"/>
    <w:rsid w:val="00136065"/>
    <w:rsid w:val="001364DD"/>
    <w:rsid w:val="00136772"/>
    <w:rsid w:val="00136BF1"/>
    <w:rsid w:val="0013778D"/>
    <w:rsid w:val="001413EB"/>
    <w:rsid w:val="00141A7F"/>
    <w:rsid w:val="001455E2"/>
    <w:rsid w:val="00145B66"/>
    <w:rsid w:val="001528DF"/>
    <w:rsid w:val="00153F15"/>
    <w:rsid w:val="00157588"/>
    <w:rsid w:val="00160747"/>
    <w:rsid w:val="001659B6"/>
    <w:rsid w:val="0017015B"/>
    <w:rsid w:val="00170607"/>
    <w:rsid w:val="00171958"/>
    <w:rsid w:val="00175837"/>
    <w:rsid w:val="00177B77"/>
    <w:rsid w:val="00184296"/>
    <w:rsid w:val="001857D2"/>
    <w:rsid w:val="00185829"/>
    <w:rsid w:val="0018769B"/>
    <w:rsid w:val="0019141D"/>
    <w:rsid w:val="00191981"/>
    <w:rsid w:val="0019285E"/>
    <w:rsid w:val="00193DB8"/>
    <w:rsid w:val="00197B72"/>
    <w:rsid w:val="001A04E4"/>
    <w:rsid w:val="001B4629"/>
    <w:rsid w:val="001B675D"/>
    <w:rsid w:val="001C108C"/>
    <w:rsid w:val="001C2FE1"/>
    <w:rsid w:val="001C3A2B"/>
    <w:rsid w:val="001C59CE"/>
    <w:rsid w:val="001C6683"/>
    <w:rsid w:val="001C7A15"/>
    <w:rsid w:val="001C7F73"/>
    <w:rsid w:val="001D1AD4"/>
    <w:rsid w:val="001D4664"/>
    <w:rsid w:val="001D4F46"/>
    <w:rsid w:val="001D6023"/>
    <w:rsid w:val="001E189B"/>
    <w:rsid w:val="001E2396"/>
    <w:rsid w:val="001E56A3"/>
    <w:rsid w:val="001F2091"/>
    <w:rsid w:val="002021F1"/>
    <w:rsid w:val="00203C78"/>
    <w:rsid w:val="00205B1C"/>
    <w:rsid w:val="00205E85"/>
    <w:rsid w:val="00206DC0"/>
    <w:rsid w:val="00207546"/>
    <w:rsid w:val="00212351"/>
    <w:rsid w:val="00212C26"/>
    <w:rsid w:val="00213164"/>
    <w:rsid w:val="00215024"/>
    <w:rsid w:val="00215367"/>
    <w:rsid w:val="00217B5B"/>
    <w:rsid w:val="002207D0"/>
    <w:rsid w:val="002215CA"/>
    <w:rsid w:val="00223CDC"/>
    <w:rsid w:val="002242C8"/>
    <w:rsid w:val="00227157"/>
    <w:rsid w:val="00240A79"/>
    <w:rsid w:val="00242937"/>
    <w:rsid w:val="00243570"/>
    <w:rsid w:val="00245C89"/>
    <w:rsid w:val="00246BE5"/>
    <w:rsid w:val="00247110"/>
    <w:rsid w:val="0025002A"/>
    <w:rsid w:val="002515BC"/>
    <w:rsid w:val="00253174"/>
    <w:rsid w:val="0025377C"/>
    <w:rsid w:val="0025554C"/>
    <w:rsid w:val="002557FA"/>
    <w:rsid w:val="00257A57"/>
    <w:rsid w:val="00257F49"/>
    <w:rsid w:val="00260366"/>
    <w:rsid w:val="00260B7A"/>
    <w:rsid w:val="0026553C"/>
    <w:rsid w:val="002673D2"/>
    <w:rsid w:val="002673E8"/>
    <w:rsid w:val="0026790E"/>
    <w:rsid w:val="00267976"/>
    <w:rsid w:val="00271270"/>
    <w:rsid w:val="0027336F"/>
    <w:rsid w:val="00275D48"/>
    <w:rsid w:val="00281C1F"/>
    <w:rsid w:val="00282BD0"/>
    <w:rsid w:val="00284C2C"/>
    <w:rsid w:val="00284ED2"/>
    <w:rsid w:val="00285C2E"/>
    <w:rsid w:val="002905D6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76CA"/>
    <w:rsid w:val="002B76FD"/>
    <w:rsid w:val="002C0938"/>
    <w:rsid w:val="002C3623"/>
    <w:rsid w:val="002C531B"/>
    <w:rsid w:val="002C62F8"/>
    <w:rsid w:val="002C6D50"/>
    <w:rsid w:val="002D044C"/>
    <w:rsid w:val="002D0BB4"/>
    <w:rsid w:val="002D1660"/>
    <w:rsid w:val="002D29E8"/>
    <w:rsid w:val="002D2E2F"/>
    <w:rsid w:val="002D49AA"/>
    <w:rsid w:val="002D49FC"/>
    <w:rsid w:val="002D6225"/>
    <w:rsid w:val="002D722E"/>
    <w:rsid w:val="002D7438"/>
    <w:rsid w:val="002E2226"/>
    <w:rsid w:val="002E59A7"/>
    <w:rsid w:val="002E7038"/>
    <w:rsid w:val="002E716D"/>
    <w:rsid w:val="002E7323"/>
    <w:rsid w:val="002E7C30"/>
    <w:rsid w:val="002F14BB"/>
    <w:rsid w:val="002F215B"/>
    <w:rsid w:val="002F23EC"/>
    <w:rsid w:val="002F2C88"/>
    <w:rsid w:val="002F4B94"/>
    <w:rsid w:val="00300263"/>
    <w:rsid w:val="00301931"/>
    <w:rsid w:val="0030409E"/>
    <w:rsid w:val="0030446E"/>
    <w:rsid w:val="00304FD0"/>
    <w:rsid w:val="00306AEB"/>
    <w:rsid w:val="00306C47"/>
    <w:rsid w:val="00307578"/>
    <w:rsid w:val="003075FE"/>
    <w:rsid w:val="003108B3"/>
    <w:rsid w:val="00312612"/>
    <w:rsid w:val="00314CDE"/>
    <w:rsid w:val="00315C64"/>
    <w:rsid w:val="0032102A"/>
    <w:rsid w:val="00321BD1"/>
    <w:rsid w:val="00321F4D"/>
    <w:rsid w:val="003227AB"/>
    <w:rsid w:val="00322891"/>
    <w:rsid w:val="00322D6E"/>
    <w:rsid w:val="00323008"/>
    <w:rsid w:val="00323B9D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52DF"/>
    <w:rsid w:val="003559DC"/>
    <w:rsid w:val="00355E8C"/>
    <w:rsid w:val="003618F2"/>
    <w:rsid w:val="00362659"/>
    <w:rsid w:val="00366014"/>
    <w:rsid w:val="00366999"/>
    <w:rsid w:val="0037185E"/>
    <w:rsid w:val="00373856"/>
    <w:rsid w:val="003750A7"/>
    <w:rsid w:val="0038086A"/>
    <w:rsid w:val="0038286E"/>
    <w:rsid w:val="00384650"/>
    <w:rsid w:val="00391540"/>
    <w:rsid w:val="00393C1D"/>
    <w:rsid w:val="003942FE"/>
    <w:rsid w:val="003A05C5"/>
    <w:rsid w:val="003A1191"/>
    <w:rsid w:val="003A3DB3"/>
    <w:rsid w:val="003A4510"/>
    <w:rsid w:val="003A56E0"/>
    <w:rsid w:val="003A6A5B"/>
    <w:rsid w:val="003B0446"/>
    <w:rsid w:val="003B17B4"/>
    <w:rsid w:val="003B1F15"/>
    <w:rsid w:val="003B206B"/>
    <w:rsid w:val="003B39A8"/>
    <w:rsid w:val="003B4CA9"/>
    <w:rsid w:val="003B6AB5"/>
    <w:rsid w:val="003C20A9"/>
    <w:rsid w:val="003C265A"/>
    <w:rsid w:val="003C55F9"/>
    <w:rsid w:val="003C5927"/>
    <w:rsid w:val="003C64C6"/>
    <w:rsid w:val="003C6D1B"/>
    <w:rsid w:val="003D0FD7"/>
    <w:rsid w:val="003D2BDA"/>
    <w:rsid w:val="003D57E7"/>
    <w:rsid w:val="003D6754"/>
    <w:rsid w:val="003D7770"/>
    <w:rsid w:val="003E01BD"/>
    <w:rsid w:val="003E0C37"/>
    <w:rsid w:val="003E79AF"/>
    <w:rsid w:val="003F1C4D"/>
    <w:rsid w:val="003F2853"/>
    <w:rsid w:val="003F2F63"/>
    <w:rsid w:val="003F3436"/>
    <w:rsid w:val="003F391A"/>
    <w:rsid w:val="003F5141"/>
    <w:rsid w:val="003F6417"/>
    <w:rsid w:val="003F6CEC"/>
    <w:rsid w:val="003F759A"/>
    <w:rsid w:val="003F7A98"/>
    <w:rsid w:val="00401129"/>
    <w:rsid w:val="004024EB"/>
    <w:rsid w:val="00402FDF"/>
    <w:rsid w:val="004033A3"/>
    <w:rsid w:val="00411239"/>
    <w:rsid w:val="0041480F"/>
    <w:rsid w:val="00416632"/>
    <w:rsid w:val="00425174"/>
    <w:rsid w:val="00430F61"/>
    <w:rsid w:val="00433F31"/>
    <w:rsid w:val="00434CD9"/>
    <w:rsid w:val="0044054D"/>
    <w:rsid w:val="00444C51"/>
    <w:rsid w:val="00445099"/>
    <w:rsid w:val="00446B79"/>
    <w:rsid w:val="00447F8B"/>
    <w:rsid w:val="00450FE6"/>
    <w:rsid w:val="0045247E"/>
    <w:rsid w:val="00454FB3"/>
    <w:rsid w:val="00455445"/>
    <w:rsid w:val="0045781A"/>
    <w:rsid w:val="00460FA4"/>
    <w:rsid w:val="004620E4"/>
    <w:rsid w:val="00462D02"/>
    <w:rsid w:val="004674BD"/>
    <w:rsid w:val="00472410"/>
    <w:rsid w:val="00472927"/>
    <w:rsid w:val="00472C8D"/>
    <w:rsid w:val="00473D22"/>
    <w:rsid w:val="004769EF"/>
    <w:rsid w:val="00481778"/>
    <w:rsid w:val="00482FA8"/>
    <w:rsid w:val="00482FAF"/>
    <w:rsid w:val="00483B20"/>
    <w:rsid w:val="00484228"/>
    <w:rsid w:val="00493E46"/>
    <w:rsid w:val="004958B5"/>
    <w:rsid w:val="00495FF3"/>
    <w:rsid w:val="00497F85"/>
    <w:rsid w:val="004A040F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52AB"/>
    <w:rsid w:val="004B7110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141D"/>
    <w:rsid w:val="004E18CD"/>
    <w:rsid w:val="004E5F2A"/>
    <w:rsid w:val="004E6DDC"/>
    <w:rsid w:val="004F58C4"/>
    <w:rsid w:val="004F592D"/>
    <w:rsid w:val="004F77AC"/>
    <w:rsid w:val="00501ED9"/>
    <w:rsid w:val="00502F05"/>
    <w:rsid w:val="005077D5"/>
    <w:rsid w:val="00510392"/>
    <w:rsid w:val="0051061D"/>
    <w:rsid w:val="00511161"/>
    <w:rsid w:val="00513A67"/>
    <w:rsid w:val="005147B3"/>
    <w:rsid w:val="00514FB8"/>
    <w:rsid w:val="00516EAA"/>
    <w:rsid w:val="00517AC6"/>
    <w:rsid w:val="005216C1"/>
    <w:rsid w:val="00522F6A"/>
    <w:rsid w:val="00525114"/>
    <w:rsid w:val="00525701"/>
    <w:rsid w:val="0052597D"/>
    <w:rsid w:val="005301E5"/>
    <w:rsid w:val="0053564D"/>
    <w:rsid w:val="00535B36"/>
    <w:rsid w:val="00544EC9"/>
    <w:rsid w:val="005479C1"/>
    <w:rsid w:val="0055065C"/>
    <w:rsid w:val="00551A76"/>
    <w:rsid w:val="00557970"/>
    <w:rsid w:val="005611EE"/>
    <w:rsid w:val="00561587"/>
    <w:rsid w:val="0056317B"/>
    <w:rsid w:val="00566A5D"/>
    <w:rsid w:val="00567897"/>
    <w:rsid w:val="00573823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336E"/>
    <w:rsid w:val="00597EE5"/>
    <w:rsid w:val="005A4179"/>
    <w:rsid w:val="005A6E4C"/>
    <w:rsid w:val="005B3147"/>
    <w:rsid w:val="005B4DE1"/>
    <w:rsid w:val="005B6139"/>
    <w:rsid w:val="005C0D4E"/>
    <w:rsid w:val="005C142F"/>
    <w:rsid w:val="005C2519"/>
    <w:rsid w:val="005C289B"/>
    <w:rsid w:val="005D3218"/>
    <w:rsid w:val="005D38EB"/>
    <w:rsid w:val="005D7E9C"/>
    <w:rsid w:val="005E08B6"/>
    <w:rsid w:val="005E1D45"/>
    <w:rsid w:val="005E1F35"/>
    <w:rsid w:val="005E2BF9"/>
    <w:rsid w:val="005E4564"/>
    <w:rsid w:val="005F285F"/>
    <w:rsid w:val="005F6818"/>
    <w:rsid w:val="0060013D"/>
    <w:rsid w:val="00604C9B"/>
    <w:rsid w:val="00607D48"/>
    <w:rsid w:val="0061186B"/>
    <w:rsid w:val="00611A7F"/>
    <w:rsid w:val="006127E4"/>
    <w:rsid w:val="006207C9"/>
    <w:rsid w:val="00620812"/>
    <w:rsid w:val="00620F07"/>
    <w:rsid w:val="006210EA"/>
    <w:rsid w:val="00621774"/>
    <w:rsid w:val="006226C3"/>
    <w:rsid w:val="00623471"/>
    <w:rsid w:val="00623C5D"/>
    <w:rsid w:val="006267B2"/>
    <w:rsid w:val="006340E9"/>
    <w:rsid w:val="006349C4"/>
    <w:rsid w:val="0063636C"/>
    <w:rsid w:val="006366EA"/>
    <w:rsid w:val="00636CB2"/>
    <w:rsid w:val="0063726E"/>
    <w:rsid w:val="00641D5E"/>
    <w:rsid w:val="00644461"/>
    <w:rsid w:val="00644FD9"/>
    <w:rsid w:val="006525AF"/>
    <w:rsid w:val="0065328B"/>
    <w:rsid w:val="00653F3A"/>
    <w:rsid w:val="00654B92"/>
    <w:rsid w:val="0065702F"/>
    <w:rsid w:val="0066008B"/>
    <w:rsid w:val="00672AB3"/>
    <w:rsid w:val="00674F4B"/>
    <w:rsid w:val="006750E0"/>
    <w:rsid w:val="0067609D"/>
    <w:rsid w:val="006820B4"/>
    <w:rsid w:val="00684596"/>
    <w:rsid w:val="00686CFB"/>
    <w:rsid w:val="00691805"/>
    <w:rsid w:val="0069433C"/>
    <w:rsid w:val="006970CE"/>
    <w:rsid w:val="006A091F"/>
    <w:rsid w:val="006A1246"/>
    <w:rsid w:val="006A15DB"/>
    <w:rsid w:val="006A4FF7"/>
    <w:rsid w:val="006A627B"/>
    <w:rsid w:val="006B516C"/>
    <w:rsid w:val="006C11A6"/>
    <w:rsid w:val="006C1E02"/>
    <w:rsid w:val="006C32F8"/>
    <w:rsid w:val="006C4F33"/>
    <w:rsid w:val="006C5987"/>
    <w:rsid w:val="006D4816"/>
    <w:rsid w:val="006D5E96"/>
    <w:rsid w:val="006E074B"/>
    <w:rsid w:val="006E1836"/>
    <w:rsid w:val="006E3015"/>
    <w:rsid w:val="006E4289"/>
    <w:rsid w:val="006F1F13"/>
    <w:rsid w:val="006F26B9"/>
    <w:rsid w:val="006F425C"/>
    <w:rsid w:val="006F7902"/>
    <w:rsid w:val="00703DEF"/>
    <w:rsid w:val="007042FA"/>
    <w:rsid w:val="00705263"/>
    <w:rsid w:val="007066FA"/>
    <w:rsid w:val="00706F37"/>
    <w:rsid w:val="00707D36"/>
    <w:rsid w:val="00712E83"/>
    <w:rsid w:val="007139DB"/>
    <w:rsid w:val="00713F46"/>
    <w:rsid w:val="00713FCC"/>
    <w:rsid w:val="00715FBE"/>
    <w:rsid w:val="00716E2E"/>
    <w:rsid w:val="00717449"/>
    <w:rsid w:val="007178FC"/>
    <w:rsid w:val="00720017"/>
    <w:rsid w:val="00722203"/>
    <w:rsid w:val="00723F9B"/>
    <w:rsid w:val="0072647E"/>
    <w:rsid w:val="00726831"/>
    <w:rsid w:val="0072705C"/>
    <w:rsid w:val="00727410"/>
    <w:rsid w:val="00730047"/>
    <w:rsid w:val="00734ED3"/>
    <w:rsid w:val="007354FE"/>
    <w:rsid w:val="0073573F"/>
    <w:rsid w:val="00736967"/>
    <w:rsid w:val="007426C7"/>
    <w:rsid w:val="00743390"/>
    <w:rsid w:val="007457EF"/>
    <w:rsid w:val="00746137"/>
    <w:rsid w:val="007465B8"/>
    <w:rsid w:val="00747704"/>
    <w:rsid w:val="00750EB6"/>
    <w:rsid w:val="0075309A"/>
    <w:rsid w:val="00756236"/>
    <w:rsid w:val="007671EF"/>
    <w:rsid w:val="00770978"/>
    <w:rsid w:val="00770A78"/>
    <w:rsid w:val="0077330B"/>
    <w:rsid w:val="00773846"/>
    <w:rsid w:val="007774E5"/>
    <w:rsid w:val="00780695"/>
    <w:rsid w:val="0078103A"/>
    <w:rsid w:val="0078299A"/>
    <w:rsid w:val="0078431E"/>
    <w:rsid w:val="007864F6"/>
    <w:rsid w:val="00786ECD"/>
    <w:rsid w:val="00790032"/>
    <w:rsid w:val="0079071B"/>
    <w:rsid w:val="007915ED"/>
    <w:rsid w:val="00793828"/>
    <w:rsid w:val="00795498"/>
    <w:rsid w:val="00795512"/>
    <w:rsid w:val="0079786D"/>
    <w:rsid w:val="007A0A90"/>
    <w:rsid w:val="007A1064"/>
    <w:rsid w:val="007A3E77"/>
    <w:rsid w:val="007A659D"/>
    <w:rsid w:val="007A716E"/>
    <w:rsid w:val="007B281C"/>
    <w:rsid w:val="007B67B5"/>
    <w:rsid w:val="007B6A62"/>
    <w:rsid w:val="007B74BC"/>
    <w:rsid w:val="007B7971"/>
    <w:rsid w:val="007C0040"/>
    <w:rsid w:val="007C0EB6"/>
    <w:rsid w:val="007C2354"/>
    <w:rsid w:val="007C580C"/>
    <w:rsid w:val="007C6829"/>
    <w:rsid w:val="007D4910"/>
    <w:rsid w:val="007D6708"/>
    <w:rsid w:val="007D6E0D"/>
    <w:rsid w:val="007E0210"/>
    <w:rsid w:val="007E0316"/>
    <w:rsid w:val="007E4355"/>
    <w:rsid w:val="007E5126"/>
    <w:rsid w:val="007F26F2"/>
    <w:rsid w:val="007F5D2A"/>
    <w:rsid w:val="007F7C4D"/>
    <w:rsid w:val="00802EAD"/>
    <w:rsid w:val="0080376F"/>
    <w:rsid w:val="00810574"/>
    <w:rsid w:val="00814E8B"/>
    <w:rsid w:val="00815CF5"/>
    <w:rsid w:val="008161C0"/>
    <w:rsid w:val="00817EA0"/>
    <w:rsid w:val="008222F0"/>
    <w:rsid w:val="008224D7"/>
    <w:rsid w:val="008237E4"/>
    <w:rsid w:val="00823D58"/>
    <w:rsid w:val="008268E0"/>
    <w:rsid w:val="00830063"/>
    <w:rsid w:val="00831339"/>
    <w:rsid w:val="008325C7"/>
    <w:rsid w:val="00833BC2"/>
    <w:rsid w:val="00833EA8"/>
    <w:rsid w:val="00834857"/>
    <w:rsid w:val="008378A2"/>
    <w:rsid w:val="00840A9A"/>
    <w:rsid w:val="0084154A"/>
    <w:rsid w:val="0084185C"/>
    <w:rsid w:val="00853FBA"/>
    <w:rsid w:val="00857567"/>
    <w:rsid w:val="00857746"/>
    <w:rsid w:val="00857D55"/>
    <w:rsid w:val="00862CCE"/>
    <w:rsid w:val="00865AAF"/>
    <w:rsid w:val="00866643"/>
    <w:rsid w:val="00872D06"/>
    <w:rsid w:val="00874BBA"/>
    <w:rsid w:val="008757DE"/>
    <w:rsid w:val="00876889"/>
    <w:rsid w:val="008778DE"/>
    <w:rsid w:val="008804FF"/>
    <w:rsid w:val="00881A63"/>
    <w:rsid w:val="00882656"/>
    <w:rsid w:val="008836B8"/>
    <w:rsid w:val="00884874"/>
    <w:rsid w:val="00885043"/>
    <w:rsid w:val="00886BB6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E95"/>
    <w:rsid w:val="008A7657"/>
    <w:rsid w:val="008B0D07"/>
    <w:rsid w:val="008B1FC0"/>
    <w:rsid w:val="008B383B"/>
    <w:rsid w:val="008B40CB"/>
    <w:rsid w:val="008B44AB"/>
    <w:rsid w:val="008B669F"/>
    <w:rsid w:val="008C0AF6"/>
    <w:rsid w:val="008C252D"/>
    <w:rsid w:val="008C2DB1"/>
    <w:rsid w:val="008C4B60"/>
    <w:rsid w:val="008C4C28"/>
    <w:rsid w:val="008D29F7"/>
    <w:rsid w:val="008D2A22"/>
    <w:rsid w:val="008D3A2F"/>
    <w:rsid w:val="008D473D"/>
    <w:rsid w:val="008D4777"/>
    <w:rsid w:val="008D4CEB"/>
    <w:rsid w:val="008D58DE"/>
    <w:rsid w:val="008D73D6"/>
    <w:rsid w:val="008D7DC9"/>
    <w:rsid w:val="008E1010"/>
    <w:rsid w:val="008E2E59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2A90"/>
    <w:rsid w:val="00911A49"/>
    <w:rsid w:val="00911A6F"/>
    <w:rsid w:val="00912978"/>
    <w:rsid w:val="009131B5"/>
    <w:rsid w:val="00913DD0"/>
    <w:rsid w:val="0091480C"/>
    <w:rsid w:val="0092348C"/>
    <w:rsid w:val="009267AD"/>
    <w:rsid w:val="00930604"/>
    <w:rsid w:val="00931706"/>
    <w:rsid w:val="00931C98"/>
    <w:rsid w:val="009328D9"/>
    <w:rsid w:val="0094125B"/>
    <w:rsid w:val="009429DE"/>
    <w:rsid w:val="00943F8A"/>
    <w:rsid w:val="009443E8"/>
    <w:rsid w:val="00944F47"/>
    <w:rsid w:val="00945CCC"/>
    <w:rsid w:val="009471D4"/>
    <w:rsid w:val="00947B03"/>
    <w:rsid w:val="0095006B"/>
    <w:rsid w:val="00951FEA"/>
    <w:rsid w:val="009527B3"/>
    <w:rsid w:val="00955FFE"/>
    <w:rsid w:val="009602A7"/>
    <w:rsid w:val="00966783"/>
    <w:rsid w:val="00967250"/>
    <w:rsid w:val="009765CA"/>
    <w:rsid w:val="00976B2A"/>
    <w:rsid w:val="00983CB3"/>
    <w:rsid w:val="009840E5"/>
    <w:rsid w:val="00990DC5"/>
    <w:rsid w:val="00994901"/>
    <w:rsid w:val="009A1AD6"/>
    <w:rsid w:val="009A26EE"/>
    <w:rsid w:val="009B1375"/>
    <w:rsid w:val="009B38A4"/>
    <w:rsid w:val="009B6727"/>
    <w:rsid w:val="009C2333"/>
    <w:rsid w:val="009C3FE0"/>
    <w:rsid w:val="009C69F8"/>
    <w:rsid w:val="009C6DEB"/>
    <w:rsid w:val="009C7A0D"/>
    <w:rsid w:val="009D0912"/>
    <w:rsid w:val="009D1FA0"/>
    <w:rsid w:val="009D2E6D"/>
    <w:rsid w:val="009D3C63"/>
    <w:rsid w:val="009D489F"/>
    <w:rsid w:val="009D4EEB"/>
    <w:rsid w:val="009D61CE"/>
    <w:rsid w:val="009D648F"/>
    <w:rsid w:val="009E45F5"/>
    <w:rsid w:val="009E4783"/>
    <w:rsid w:val="009E4C71"/>
    <w:rsid w:val="009E67C4"/>
    <w:rsid w:val="009F1644"/>
    <w:rsid w:val="009F1774"/>
    <w:rsid w:val="009F195A"/>
    <w:rsid w:val="009F3E6F"/>
    <w:rsid w:val="009F5809"/>
    <w:rsid w:val="009F5A08"/>
    <w:rsid w:val="009F6817"/>
    <w:rsid w:val="00A03D37"/>
    <w:rsid w:val="00A10815"/>
    <w:rsid w:val="00A11D36"/>
    <w:rsid w:val="00A1360F"/>
    <w:rsid w:val="00A206C6"/>
    <w:rsid w:val="00A22D15"/>
    <w:rsid w:val="00A2392A"/>
    <w:rsid w:val="00A248C8"/>
    <w:rsid w:val="00A307B7"/>
    <w:rsid w:val="00A31537"/>
    <w:rsid w:val="00A34523"/>
    <w:rsid w:val="00A347D5"/>
    <w:rsid w:val="00A3639D"/>
    <w:rsid w:val="00A408EC"/>
    <w:rsid w:val="00A40D28"/>
    <w:rsid w:val="00A4489D"/>
    <w:rsid w:val="00A44F49"/>
    <w:rsid w:val="00A45113"/>
    <w:rsid w:val="00A46522"/>
    <w:rsid w:val="00A53833"/>
    <w:rsid w:val="00A54D31"/>
    <w:rsid w:val="00A60362"/>
    <w:rsid w:val="00A61FE7"/>
    <w:rsid w:val="00A62885"/>
    <w:rsid w:val="00A629BE"/>
    <w:rsid w:val="00A63542"/>
    <w:rsid w:val="00A63749"/>
    <w:rsid w:val="00A651EF"/>
    <w:rsid w:val="00A663F3"/>
    <w:rsid w:val="00A715BF"/>
    <w:rsid w:val="00A71739"/>
    <w:rsid w:val="00A74AF8"/>
    <w:rsid w:val="00A74BAA"/>
    <w:rsid w:val="00A8340D"/>
    <w:rsid w:val="00A835AF"/>
    <w:rsid w:val="00A842FB"/>
    <w:rsid w:val="00A8670F"/>
    <w:rsid w:val="00A86B2B"/>
    <w:rsid w:val="00A9144A"/>
    <w:rsid w:val="00A9420C"/>
    <w:rsid w:val="00A97A27"/>
    <w:rsid w:val="00A97DE8"/>
    <w:rsid w:val="00AA1245"/>
    <w:rsid w:val="00AA1E2F"/>
    <w:rsid w:val="00AA3689"/>
    <w:rsid w:val="00AA3952"/>
    <w:rsid w:val="00AA3B49"/>
    <w:rsid w:val="00AA71CB"/>
    <w:rsid w:val="00AB0928"/>
    <w:rsid w:val="00AB5366"/>
    <w:rsid w:val="00AB7162"/>
    <w:rsid w:val="00AC0A17"/>
    <w:rsid w:val="00AC119C"/>
    <w:rsid w:val="00AC1D33"/>
    <w:rsid w:val="00AD0DAC"/>
    <w:rsid w:val="00AD0E21"/>
    <w:rsid w:val="00AD30DE"/>
    <w:rsid w:val="00AD31DF"/>
    <w:rsid w:val="00AD3B6E"/>
    <w:rsid w:val="00AD3E45"/>
    <w:rsid w:val="00AD467E"/>
    <w:rsid w:val="00AD6558"/>
    <w:rsid w:val="00AD7B98"/>
    <w:rsid w:val="00AE112A"/>
    <w:rsid w:val="00AE2CEF"/>
    <w:rsid w:val="00AF4035"/>
    <w:rsid w:val="00B001EB"/>
    <w:rsid w:val="00B01402"/>
    <w:rsid w:val="00B06273"/>
    <w:rsid w:val="00B07068"/>
    <w:rsid w:val="00B07A36"/>
    <w:rsid w:val="00B07BD1"/>
    <w:rsid w:val="00B12DD2"/>
    <w:rsid w:val="00B13061"/>
    <w:rsid w:val="00B13885"/>
    <w:rsid w:val="00B143F7"/>
    <w:rsid w:val="00B2419D"/>
    <w:rsid w:val="00B27E75"/>
    <w:rsid w:val="00B27F71"/>
    <w:rsid w:val="00B3258B"/>
    <w:rsid w:val="00B34285"/>
    <w:rsid w:val="00B35618"/>
    <w:rsid w:val="00B361AA"/>
    <w:rsid w:val="00B418A1"/>
    <w:rsid w:val="00B44B8D"/>
    <w:rsid w:val="00B45709"/>
    <w:rsid w:val="00B4603C"/>
    <w:rsid w:val="00B4706B"/>
    <w:rsid w:val="00B52A0D"/>
    <w:rsid w:val="00B53D49"/>
    <w:rsid w:val="00B55939"/>
    <w:rsid w:val="00B5685F"/>
    <w:rsid w:val="00B56CFB"/>
    <w:rsid w:val="00B63E5F"/>
    <w:rsid w:val="00B64888"/>
    <w:rsid w:val="00B66DD3"/>
    <w:rsid w:val="00B73D0C"/>
    <w:rsid w:val="00B73DE2"/>
    <w:rsid w:val="00B7574B"/>
    <w:rsid w:val="00B81E94"/>
    <w:rsid w:val="00B823DD"/>
    <w:rsid w:val="00B8295E"/>
    <w:rsid w:val="00B83B04"/>
    <w:rsid w:val="00B906EF"/>
    <w:rsid w:val="00B910B5"/>
    <w:rsid w:val="00B9560F"/>
    <w:rsid w:val="00B97445"/>
    <w:rsid w:val="00B97633"/>
    <w:rsid w:val="00BA1071"/>
    <w:rsid w:val="00BA1104"/>
    <w:rsid w:val="00BA19B4"/>
    <w:rsid w:val="00BA37E7"/>
    <w:rsid w:val="00BA5C6F"/>
    <w:rsid w:val="00BA79D9"/>
    <w:rsid w:val="00BB1230"/>
    <w:rsid w:val="00BB3030"/>
    <w:rsid w:val="00BB3201"/>
    <w:rsid w:val="00BB3DAD"/>
    <w:rsid w:val="00BB5584"/>
    <w:rsid w:val="00BC6DC7"/>
    <w:rsid w:val="00BC72BF"/>
    <w:rsid w:val="00BD2B3F"/>
    <w:rsid w:val="00BD3818"/>
    <w:rsid w:val="00BD4042"/>
    <w:rsid w:val="00BD4B3E"/>
    <w:rsid w:val="00BE2C3D"/>
    <w:rsid w:val="00BE32C5"/>
    <w:rsid w:val="00BE44B0"/>
    <w:rsid w:val="00BE7388"/>
    <w:rsid w:val="00BF1C8A"/>
    <w:rsid w:val="00BF64B9"/>
    <w:rsid w:val="00BF6F59"/>
    <w:rsid w:val="00BF7722"/>
    <w:rsid w:val="00C00BD3"/>
    <w:rsid w:val="00C00F3A"/>
    <w:rsid w:val="00C013FD"/>
    <w:rsid w:val="00C0327F"/>
    <w:rsid w:val="00C03B69"/>
    <w:rsid w:val="00C066B8"/>
    <w:rsid w:val="00C06CA8"/>
    <w:rsid w:val="00C076BE"/>
    <w:rsid w:val="00C11FD8"/>
    <w:rsid w:val="00C12726"/>
    <w:rsid w:val="00C13F7E"/>
    <w:rsid w:val="00C2330A"/>
    <w:rsid w:val="00C23EF9"/>
    <w:rsid w:val="00C25CE0"/>
    <w:rsid w:val="00C266CE"/>
    <w:rsid w:val="00C313EF"/>
    <w:rsid w:val="00C322AA"/>
    <w:rsid w:val="00C35DEA"/>
    <w:rsid w:val="00C4060E"/>
    <w:rsid w:val="00C4238B"/>
    <w:rsid w:val="00C43128"/>
    <w:rsid w:val="00C43973"/>
    <w:rsid w:val="00C44A9F"/>
    <w:rsid w:val="00C500EE"/>
    <w:rsid w:val="00C57737"/>
    <w:rsid w:val="00C61017"/>
    <w:rsid w:val="00C62619"/>
    <w:rsid w:val="00C65687"/>
    <w:rsid w:val="00C6680C"/>
    <w:rsid w:val="00C677A3"/>
    <w:rsid w:val="00C71A74"/>
    <w:rsid w:val="00C71BD9"/>
    <w:rsid w:val="00C72478"/>
    <w:rsid w:val="00C73188"/>
    <w:rsid w:val="00C741C9"/>
    <w:rsid w:val="00C76542"/>
    <w:rsid w:val="00C76578"/>
    <w:rsid w:val="00C77DFE"/>
    <w:rsid w:val="00C80432"/>
    <w:rsid w:val="00C811B9"/>
    <w:rsid w:val="00C82755"/>
    <w:rsid w:val="00C84699"/>
    <w:rsid w:val="00C850FC"/>
    <w:rsid w:val="00C92528"/>
    <w:rsid w:val="00C94B34"/>
    <w:rsid w:val="00C94EB6"/>
    <w:rsid w:val="00CB12E4"/>
    <w:rsid w:val="00CB3283"/>
    <w:rsid w:val="00CB43B9"/>
    <w:rsid w:val="00CB6762"/>
    <w:rsid w:val="00CC05E5"/>
    <w:rsid w:val="00CC2799"/>
    <w:rsid w:val="00CC4B5C"/>
    <w:rsid w:val="00CD1535"/>
    <w:rsid w:val="00CD2087"/>
    <w:rsid w:val="00CD23C5"/>
    <w:rsid w:val="00CD30FC"/>
    <w:rsid w:val="00CD473F"/>
    <w:rsid w:val="00CD4A75"/>
    <w:rsid w:val="00CE23C6"/>
    <w:rsid w:val="00CE381B"/>
    <w:rsid w:val="00CE687E"/>
    <w:rsid w:val="00CF01E3"/>
    <w:rsid w:val="00CF2552"/>
    <w:rsid w:val="00CF27B8"/>
    <w:rsid w:val="00D01934"/>
    <w:rsid w:val="00D11576"/>
    <w:rsid w:val="00D116F0"/>
    <w:rsid w:val="00D13571"/>
    <w:rsid w:val="00D15C57"/>
    <w:rsid w:val="00D16E90"/>
    <w:rsid w:val="00D22571"/>
    <w:rsid w:val="00D25235"/>
    <w:rsid w:val="00D25EA1"/>
    <w:rsid w:val="00D26D63"/>
    <w:rsid w:val="00D31BC9"/>
    <w:rsid w:val="00D35C35"/>
    <w:rsid w:val="00D41BC3"/>
    <w:rsid w:val="00D42C47"/>
    <w:rsid w:val="00D435CB"/>
    <w:rsid w:val="00D4729F"/>
    <w:rsid w:val="00D51192"/>
    <w:rsid w:val="00D513A8"/>
    <w:rsid w:val="00D5364E"/>
    <w:rsid w:val="00D560C8"/>
    <w:rsid w:val="00D57460"/>
    <w:rsid w:val="00D60C30"/>
    <w:rsid w:val="00D61F00"/>
    <w:rsid w:val="00D627EB"/>
    <w:rsid w:val="00D6563F"/>
    <w:rsid w:val="00D65839"/>
    <w:rsid w:val="00D66227"/>
    <w:rsid w:val="00D718CD"/>
    <w:rsid w:val="00D71C0B"/>
    <w:rsid w:val="00D72427"/>
    <w:rsid w:val="00D7378E"/>
    <w:rsid w:val="00D81A6D"/>
    <w:rsid w:val="00D8271F"/>
    <w:rsid w:val="00D93B6B"/>
    <w:rsid w:val="00D93F49"/>
    <w:rsid w:val="00D94867"/>
    <w:rsid w:val="00D95CC9"/>
    <w:rsid w:val="00D971CE"/>
    <w:rsid w:val="00D976B0"/>
    <w:rsid w:val="00DA18FD"/>
    <w:rsid w:val="00DA27E6"/>
    <w:rsid w:val="00DA4EBD"/>
    <w:rsid w:val="00DA5B07"/>
    <w:rsid w:val="00DB03D1"/>
    <w:rsid w:val="00DB18BA"/>
    <w:rsid w:val="00DB1B5F"/>
    <w:rsid w:val="00DB1E38"/>
    <w:rsid w:val="00DB24D3"/>
    <w:rsid w:val="00DB3A69"/>
    <w:rsid w:val="00DB69F6"/>
    <w:rsid w:val="00DB7189"/>
    <w:rsid w:val="00DB75BE"/>
    <w:rsid w:val="00DB764F"/>
    <w:rsid w:val="00DC6D6B"/>
    <w:rsid w:val="00DD16E9"/>
    <w:rsid w:val="00DD1B7A"/>
    <w:rsid w:val="00DD59C3"/>
    <w:rsid w:val="00DE3CC6"/>
    <w:rsid w:val="00DE3E7B"/>
    <w:rsid w:val="00DE6C33"/>
    <w:rsid w:val="00DE7971"/>
    <w:rsid w:val="00DF3D0F"/>
    <w:rsid w:val="00DF597B"/>
    <w:rsid w:val="00DF7035"/>
    <w:rsid w:val="00DF7C10"/>
    <w:rsid w:val="00E049DC"/>
    <w:rsid w:val="00E05C3C"/>
    <w:rsid w:val="00E07E57"/>
    <w:rsid w:val="00E11398"/>
    <w:rsid w:val="00E12126"/>
    <w:rsid w:val="00E13769"/>
    <w:rsid w:val="00E15638"/>
    <w:rsid w:val="00E16BF1"/>
    <w:rsid w:val="00E21254"/>
    <w:rsid w:val="00E2385D"/>
    <w:rsid w:val="00E2468D"/>
    <w:rsid w:val="00E3198E"/>
    <w:rsid w:val="00E369DB"/>
    <w:rsid w:val="00E37841"/>
    <w:rsid w:val="00E408F6"/>
    <w:rsid w:val="00E40EE2"/>
    <w:rsid w:val="00E41AAE"/>
    <w:rsid w:val="00E4663C"/>
    <w:rsid w:val="00E557AD"/>
    <w:rsid w:val="00E60A19"/>
    <w:rsid w:val="00E6494F"/>
    <w:rsid w:val="00E64BF2"/>
    <w:rsid w:val="00E66A91"/>
    <w:rsid w:val="00E66FCC"/>
    <w:rsid w:val="00E67E77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B77"/>
    <w:rsid w:val="00E9133B"/>
    <w:rsid w:val="00EA2A0D"/>
    <w:rsid w:val="00EA3F86"/>
    <w:rsid w:val="00EB2B0D"/>
    <w:rsid w:val="00EB46F0"/>
    <w:rsid w:val="00EB54C7"/>
    <w:rsid w:val="00EB70B6"/>
    <w:rsid w:val="00EC342B"/>
    <w:rsid w:val="00EC4151"/>
    <w:rsid w:val="00EC6134"/>
    <w:rsid w:val="00ED0258"/>
    <w:rsid w:val="00EE1383"/>
    <w:rsid w:val="00EE2639"/>
    <w:rsid w:val="00EF028F"/>
    <w:rsid w:val="00EF1C27"/>
    <w:rsid w:val="00EF39DE"/>
    <w:rsid w:val="00EF5532"/>
    <w:rsid w:val="00EF6567"/>
    <w:rsid w:val="00EF6A75"/>
    <w:rsid w:val="00F0046C"/>
    <w:rsid w:val="00F02973"/>
    <w:rsid w:val="00F10EE1"/>
    <w:rsid w:val="00F15AB9"/>
    <w:rsid w:val="00F161A3"/>
    <w:rsid w:val="00F165BE"/>
    <w:rsid w:val="00F16994"/>
    <w:rsid w:val="00F176E9"/>
    <w:rsid w:val="00F2032B"/>
    <w:rsid w:val="00F2084A"/>
    <w:rsid w:val="00F21799"/>
    <w:rsid w:val="00F23184"/>
    <w:rsid w:val="00F24215"/>
    <w:rsid w:val="00F2722E"/>
    <w:rsid w:val="00F27A1D"/>
    <w:rsid w:val="00F3673F"/>
    <w:rsid w:val="00F379D1"/>
    <w:rsid w:val="00F37B5A"/>
    <w:rsid w:val="00F437D8"/>
    <w:rsid w:val="00F4539B"/>
    <w:rsid w:val="00F55705"/>
    <w:rsid w:val="00F55AFD"/>
    <w:rsid w:val="00F560AE"/>
    <w:rsid w:val="00F60897"/>
    <w:rsid w:val="00F60AC8"/>
    <w:rsid w:val="00F64742"/>
    <w:rsid w:val="00F6557D"/>
    <w:rsid w:val="00F7420F"/>
    <w:rsid w:val="00F81E82"/>
    <w:rsid w:val="00F849D1"/>
    <w:rsid w:val="00F86A00"/>
    <w:rsid w:val="00F917E7"/>
    <w:rsid w:val="00F919F1"/>
    <w:rsid w:val="00F93B12"/>
    <w:rsid w:val="00F948FA"/>
    <w:rsid w:val="00F95DA5"/>
    <w:rsid w:val="00F96F71"/>
    <w:rsid w:val="00F97AC5"/>
    <w:rsid w:val="00F97D24"/>
    <w:rsid w:val="00FA0009"/>
    <w:rsid w:val="00FA1CEC"/>
    <w:rsid w:val="00FA2375"/>
    <w:rsid w:val="00FA282B"/>
    <w:rsid w:val="00FA416B"/>
    <w:rsid w:val="00FB2D90"/>
    <w:rsid w:val="00FC0F0F"/>
    <w:rsid w:val="00FC2925"/>
    <w:rsid w:val="00FC7B70"/>
    <w:rsid w:val="00FC7D5A"/>
    <w:rsid w:val="00FD2444"/>
    <w:rsid w:val="00FD5A6D"/>
    <w:rsid w:val="00FD6599"/>
    <w:rsid w:val="00FD69CB"/>
    <w:rsid w:val="00FD6A2B"/>
    <w:rsid w:val="00FE53C2"/>
    <w:rsid w:val="00FE59FE"/>
    <w:rsid w:val="00FE69BA"/>
    <w:rsid w:val="00FF34A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4C39-4B8B-4E03-A83B-590F7AD0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145</cp:revision>
  <cp:lastPrinted>2018-10-23T03:44:00Z</cp:lastPrinted>
  <dcterms:created xsi:type="dcterms:W3CDTF">2018-08-08T06:07:00Z</dcterms:created>
  <dcterms:modified xsi:type="dcterms:W3CDTF">2018-11-06T09:33:00Z</dcterms:modified>
</cp:coreProperties>
</file>